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1954D" w14:textId="77777777" w:rsidR="00776A1F" w:rsidRDefault="00786AA7" w:rsidP="00F430ED">
      <w:pPr>
        <w:spacing w:after="0" w:line="300" w:lineRule="auto"/>
        <w:ind w:left="-180"/>
        <w:jc w:val="center"/>
        <w:rPr>
          <w:rStyle w:val="IntenseReference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195E624B" wp14:editId="54ED8B9F">
            <wp:simplePos x="0" y="0"/>
            <wp:positionH relativeFrom="margin">
              <wp:posOffset>4137025</wp:posOffset>
            </wp:positionH>
            <wp:positionV relativeFrom="bottomMargin">
              <wp:posOffset>-8803005</wp:posOffset>
            </wp:positionV>
            <wp:extent cx="1983740" cy="490220"/>
            <wp:effectExtent l="0" t="0" r="0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C46"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76160" behindDoc="0" locked="0" layoutInCell="1" allowOverlap="1" wp14:anchorId="38122B54" wp14:editId="2C1503D1">
            <wp:simplePos x="0" y="0"/>
            <wp:positionH relativeFrom="margin">
              <wp:posOffset>-255270</wp:posOffset>
            </wp:positionH>
            <wp:positionV relativeFrom="margin">
              <wp:posOffset>-539750</wp:posOffset>
            </wp:positionV>
            <wp:extent cx="1471930" cy="484505"/>
            <wp:effectExtent l="0" t="0" r="0" b="0"/>
            <wp:wrapSquare wrapText="bothSides"/>
            <wp:docPr id="4" name="Picture 4" descr="A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A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C46" w:rsidRPr="00F430ED">
        <w:rPr>
          <w:rStyle w:val="IntenseReference"/>
          <w:noProof/>
          <w:sz w:val="40"/>
          <w:szCs w:val="40"/>
        </w:rPr>
        <w:drawing>
          <wp:anchor distT="0" distB="0" distL="114300" distR="114300" simplePos="0" relativeHeight="251672064" behindDoc="0" locked="0" layoutInCell="1" allowOverlap="1" wp14:anchorId="3D403BA6" wp14:editId="643D1729">
            <wp:simplePos x="0" y="0"/>
            <wp:positionH relativeFrom="margin">
              <wp:posOffset>2190750</wp:posOffset>
            </wp:positionH>
            <wp:positionV relativeFrom="margin">
              <wp:posOffset>-755650</wp:posOffset>
            </wp:positionV>
            <wp:extent cx="1154624" cy="893312"/>
            <wp:effectExtent l="0" t="0" r="762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624" cy="89331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991DA" w14:textId="16AFBB4C" w:rsidR="00F430ED" w:rsidRDefault="00CF54AE" w:rsidP="00776A1F">
      <w:pPr>
        <w:spacing w:after="0" w:line="276" w:lineRule="auto"/>
        <w:ind w:left="-180"/>
        <w:jc w:val="center"/>
        <w:rPr>
          <w:rStyle w:val="IntenseReference"/>
          <w:color w:val="0070C0"/>
          <w:sz w:val="36"/>
          <w:szCs w:val="36"/>
        </w:rPr>
      </w:pPr>
      <w:r>
        <w:rPr>
          <w:rStyle w:val="IntenseReference"/>
          <w:color w:val="0070C0"/>
          <w:sz w:val="36"/>
          <w:szCs w:val="36"/>
        </w:rPr>
        <w:t>No Wrong Door Standing Committee</w:t>
      </w:r>
    </w:p>
    <w:p w14:paraId="421D1ACF" w14:textId="647706E8" w:rsidR="00301017" w:rsidRDefault="00CA06F9" w:rsidP="00A32C58">
      <w:pPr>
        <w:spacing w:after="0" w:line="276" w:lineRule="auto"/>
        <w:jc w:val="center"/>
        <w:rPr>
          <w:rStyle w:val="IntenseReference"/>
          <w:color w:val="0070C0"/>
          <w:sz w:val="28"/>
          <w:szCs w:val="28"/>
        </w:rPr>
      </w:pPr>
      <w:r>
        <w:rPr>
          <w:rStyle w:val="IntenseReference"/>
          <w:color w:val="0070C0"/>
          <w:sz w:val="28"/>
          <w:szCs w:val="28"/>
        </w:rPr>
        <w:t>Tuesday, October 22</w:t>
      </w:r>
      <w:r w:rsidRPr="00CA06F9">
        <w:rPr>
          <w:rStyle w:val="IntenseReference"/>
          <w:color w:val="0070C0"/>
          <w:sz w:val="28"/>
          <w:szCs w:val="28"/>
          <w:vertAlign w:val="superscript"/>
        </w:rPr>
        <w:t>nd</w:t>
      </w:r>
      <w:r>
        <w:rPr>
          <w:rStyle w:val="IntenseReference"/>
          <w:color w:val="0070C0"/>
          <w:sz w:val="28"/>
          <w:szCs w:val="28"/>
        </w:rPr>
        <w:t xml:space="preserve"> 10:30am-11:30 AM</w:t>
      </w:r>
    </w:p>
    <w:p w14:paraId="17353A9E" w14:textId="77777777" w:rsidR="00CB40C2" w:rsidRDefault="00CB40C2" w:rsidP="00A32C58">
      <w:pPr>
        <w:spacing w:after="0" w:line="276" w:lineRule="auto"/>
        <w:jc w:val="center"/>
        <w:rPr>
          <w:rStyle w:val="IntenseReference"/>
          <w:color w:val="0070C0"/>
          <w:sz w:val="28"/>
          <w:szCs w:val="28"/>
        </w:rPr>
      </w:pPr>
      <w:r>
        <w:rPr>
          <w:rStyle w:val="IntenseReference"/>
          <w:color w:val="0070C0"/>
          <w:sz w:val="28"/>
          <w:szCs w:val="28"/>
        </w:rPr>
        <w:t>Adult and Aging, 3725 Westwind Blvd, Santa Rosa</w:t>
      </w:r>
    </w:p>
    <w:p w14:paraId="6650580F" w14:textId="70D42FA8" w:rsidR="00CB40C2" w:rsidRDefault="00CB40C2" w:rsidP="00A32C58">
      <w:pPr>
        <w:spacing w:after="0" w:line="276" w:lineRule="auto"/>
        <w:jc w:val="center"/>
        <w:rPr>
          <w:rStyle w:val="IntenseReference"/>
          <w:color w:val="0070C0"/>
          <w:sz w:val="28"/>
          <w:szCs w:val="28"/>
        </w:rPr>
      </w:pPr>
      <w:r>
        <w:rPr>
          <w:rStyle w:val="IntenseReference"/>
          <w:color w:val="0070C0"/>
          <w:sz w:val="28"/>
          <w:szCs w:val="28"/>
        </w:rPr>
        <w:t>Carnelian Room</w:t>
      </w:r>
    </w:p>
    <w:p w14:paraId="13F302AB" w14:textId="77777777" w:rsidR="00AE73DA" w:rsidRPr="005D2042" w:rsidRDefault="00AE73DA" w:rsidP="00200E91">
      <w:pPr>
        <w:spacing w:after="0" w:line="276" w:lineRule="auto"/>
        <w:jc w:val="center"/>
        <w:rPr>
          <w:rStyle w:val="IntenseReference"/>
          <w:color w:val="0070C0"/>
          <w:sz w:val="28"/>
          <w:szCs w:val="28"/>
        </w:rPr>
      </w:pPr>
    </w:p>
    <w:p w14:paraId="452440D6" w14:textId="14E47D39" w:rsidR="002A3123" w:rsidRDefault="00CA06F9" w:rsidP="00F8189B">
      <w:pPr>
        <w:tabs>
          <w:tab w:val="left" w:pos="810"/>
        </w:tabs>
        <w:spacing w:before="120" w:after="0" w:line="240" w:lineRule="auto"/>
        <w:ind w:left="-634" w:firstLine="187"/>
        <w:rPr>
          <w:rFonts w:ascii="Arial" w:hAnsi="Arial" w:cs="Arial"/>
          <w:b/>
          <w:color w:val="0070C0"/>
        </w:rPr>
      </w:pPr>
      <w:r>
        <w:rPr>
          <w:rFonts w:ascii="Arial" w:hAnsi="Arial" w:cs="Arial"/>
        </w:rPr>
        <w:t>10:30</w:t>
      </w:r>
      <w:r w:rsidR="00444A77" w:rsidRPr="00DE7E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444A77" w:rsidRPr="00DE7E6A">
        <w:rPr>
          <w:rFonts w:ascii="Arial" w:hAnsi="Arial" w:cs="Arial"/>
        </w:rPr>
        <w:t>m</w:t>
      </w:r>
      <w:r w:rsidR="00444A77" w:rsidRPr="003B4380">
        <w:rPr>
          <w:rFonts w:ascii="Arial" w:hAnsi="Arial" w:cs="Arial"/>
        </w:rPr>
        <w:t xml:space="preserve"> </w:t>
      </w:r>
      <w:r w:rsidR="00444A77" w:rsidRPr="003B4380">
        <w:rPr>
          <w:rFonts w:ascii="Arial" w:hAnsi="Arial" w:cs="Arial"/>
        </w:rPr>
        <w:tab/>
      </w:r>
      <w:r w:rsidR="00444A77" w:rsidRPr="003B4380">
        <w:rPr>
          <w:rFonts w:ascii="Arial" w:hAnsi="Arial" w:cs="Arial"/>
          <w:b/>
          <w:color w:val="0070C0"/>
        </w:rPr>
        <w:t xml:space="preserve">Welcome and Introductions </w:t>
      </w:r>
      <w:r w:rsidR="00EC587C">
        <w:rPr>
          <w:rFonts w:ascii="Arial" w:hAnsi="Arial" w:cs="Arial"/>
          <w:b/>
          <w:color w:val="0070C0"/>
        </w:rPr>
        <w:t xml:space="preserve">                                  </w:t>
      </w:r>
      <w:proofErr w:type="gramStart"/>
      <w:r w:rsidR="00EC587C">
        <w:rPr>
          <w:rFonts w:ascii="Arial" w:hAnsi="Arial" w:cs="Arial"/>
          <w:b/>
          <w:color w:val="0070C0"/>
        </w:rPr>
        <w:t xml:space="preserve">  </w:t>
      </w:r>
      <w:r w:rsidR="00B8311C">
        <w:rPr>
          <w:rFonts w:ascii="Arial" w:hAnsi="Arial" w:cs="Arial"/>
          <w:b/>
          <w:color w:val="0070C0"/>
        </w:rPr>
        <w:t xml:space="preserve"> </w:t>
      </w:r>
      <w:r w:rsidR="00EC587C">
        <w:rPr>
          <w:rFonts w:ascii="Arial" w:hAnsi="Arial" w:cs="Arial"/>
          <w:b/>
          <w:color w:val="0070C0"/>
        </w:rPr>
        <w:t>(</w:t>
      </w:r>
      <w:proofErr w:type="gramEnd"/>
      <w:r w:rsidR="00EC587C">
        <w:rPr>
          <w:rFonts w:ascii="Arial" w:hAnsi="Arial" w:cs="Arial"/>
          <w:b/>
          <w:color w:val="0070C0"/>
        </w:rPr>
        <w:t>Betsey)</w:t>
      </w:r>
    </w:p>
    <w:p w14:paraId="610AE8E7" w14:textId="0FBF5A2D" w:rsidR="00EC587C" w:rsidRPr="00EC587C" w:rsidRDefault="00EC587C" w:rsidP="00EC587C">
      <w:pPr>
        <w:pStyle w:val="ListParagraph"/>
        <w:numPr>
          <w:ilvl w:val="2"/>
          <w:numId w:val="24"/>
        </w:numPr>
        <w:tabs>
          <w:tab w:val="left" w:pos="810"/>
        </w:tabs>
        <w:spacing w:before="120" w:after="0" w:line="240" w:lineRule="auto"/>
        <w:ind w:left="1890" w:hanging="450"/>
        <w:rPr>
          <w:rFonts w:ascii="Arial" w:hAnsi="Arial" w:cs="Arial"/>
          <w:bCs/>
        </w:rPr>
      </w:pPr>
      <w:r w:rsidRPr="00EC587C">
        <w:rPr>
          <w:rFonts w:ascii="Arial" w:hAnsi="Arial" w:cs="Arial"/>
          <w:bCs/>
        </w:rPr>
        <w:t>Check in</w:t>
      </w:r>
    </w:p>
    <w:p w14:paraId="62961159" w14:textId="0417820A" w:rsidR="00EC587C" w:rsidRDefault="00BC3403" w:rsidP="00F8189B">
      <w:pPr>
        <w:tabs>
          <w:tab w:val="left" w:pos="810"/>
        </w:tabs>
        <w:spacing w:before="120" w:after="0" w:line="240" w:lineRule="auto"/>
        <w:ind w:left="-634" w:firstLine="187"/>
        <w:rPr>
          <w:rFonts w:ascii="Arial" w:hAnsi="Arial" w:cs="Arial"/>
          <w:b/>
          <w:color w:val="0070C0"/>
        </w:rPr>
      </w:pPr>
      <w:r>
        <w:rPr>
          <w:rFonts w:ascii="Arial" w:hAnsi="Arial" w:cs="Arial"/>
        </w:rPr>
        <w:t xml:space="preserve">10:40 am      </w:t>
      </w:r>
      <w:r w:rsidR="00EC587C">
        <w:rPr>
          <w:rFonts w:ascii="Arial" w:hAnsi="Arial" w:cs="Arial"/>
          <w:b/>
          <w:color w:val="0070C0"/>
        </w:rPr>
        <w:t>Brief overview of Brown Act/meeting guidelines</w:t>
      </w:r>
      <w:proofErr w:type="gramStart"/>
      <w:r w:rsidR="00EC587C">
        <w:rPr>
          <w:rFonts w:ascii="Arial" w:hAnsi="Arial" w:cs="Arial"/>
          <w:b/>
          <w:color w:val="0070C0"/>
        </w:rPr>
        <w:t xml:space="preserve">  </w:t>
      </w:r>
      <w:r w:rsidR="00B8311C">
        <w:rPr>
          <w:rFonts w:ascii="Arial" w:hAnsi="Arial" w:cs="Arial"/>
          <w:b/>
          <w:color w:val="0070C0"/>
        </w:rPr>
        <w:t xml:space="preserve"> </w:t>
      </w:r>
      <w:r w:rsidR="00EC587C">
        <w:rPr>
          <w:rFonts w:ascii="Arial" w:hAnsi="Arial" w:cs="Arial"/>
          <w:b/>
          <w:color w:val="0070C0"/>
        </w:rPr>
        <w:t>(</w:t>
      </w:r>
      <w:proofErr w:type="gramEnd"/>
      <w:r w:rsidR="00EC587C">
        <w:rPr>
          <w:rFonts w:ascii="Arial" w:hAnsi="Arial" w:cs="Arial"/>
          <w:b/>
          <w:color w:val="0070C0"/>
        </w:rPr>
        <w:t xml:space="preserve">Sara)  </w:t>
      </w:r>
    </w:p>
    <w:p w14:paraId="3E3C900F" w14:textId="7BE7FC62" w:rsidR="006A6711" w:rsidRDefault="00CF54AE" w:rsidP="006A6711">
      <w:pPr>
        <w:tabs>
          <w:tab w:val="left" w:pos="810"/>
        </w:tabs>
        <w:spacing w:before="240" w:after="0" w:line="276" w:lineRule="auto"/>
        <w:ind w:left="-634" w:firstLine="187"/>
        <w:rPr>
          <w:rFonts w:ascii="Arial" w:hAnsi="Arial" w:cs="Arial"/>
          <w:b/>
          <w:color w:val="0070C0"/>
        </w:rPr>
      </w:pPr>
      <w:r w:rsidRPr="00B34CEF"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6AE6128" wp14:editId="2C8ACF6F">
                <wp:simplePos x="0" y="0"/>
                <wp:positionH relativeFrom="margin">
                  <wp:posOffset>4676775</wp:posOffset>
                </wp:positionH>
                <wp:positionV relativeFrom="margin">
                  <wp:posOffset>1524000</wp:posOffset>
                </wp:positionV>
                <wp:extent cx="1885950" cy="6581775"/>
                <wp:effectExtent l="0" t="0" r="19050" b="28575"/>
                <wp:wrapSquare wrapText="bothSides"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58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671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6E9EA" w14:textId="31087DD3" w:rsidR="00301017" w:rsidRPr="00234BA4" w:rsidRDefault="00301017" w:rsidP="00301017">
                            <w:pPr>
                              <w:shd w:val="clear" w:color="auto" w:fill="FFFFFF"/>
                              <w:spacing w:after="165" w:line="240" w:lineRule="auto"/>
                              <w:rPr>
                                <w:rFonts w:asciiTheme="minorHAnsi" w:eastAsia="Times New Roman" w:hAnsiTheme="minorHAnsi" w:cstheme="minorHAnsi"/>
                                <w:color w:val="333333"/>
                              </w:rPr>
                            </w:pPr>
                            <w:r w:rsidRPr="00234BA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333333"/>
                              </w:rPr>
                              <w:t>The Aging and Disability Resource Connection (ADRC</w:t>
                            </w:r>
                            <w:r w:rsidRPr="00234BA4">
                              <w:rPr>
                                <w:rFonts w:asciiTheme="minorHAnsi" w:eastAsia="Times New Roman" w:hAnsiTheme="minorHAnsi" w:cstheme="minorHAnsi"/>
                                <w:color w:val="333333"/>
                              </w:rPr>
                              <w:t xml:space="preserve">) initiative began as a collaborative effort between the State of California, the federal Administration for Community Living (ACL), the Centers for Medicare &amp; Medicaid </w:t>
                            </w:r>
                            <w:proofErr w:type="spellStart"/>
                            <w:r w:rsidRPr="00234BA4">
                              <w:rPr>
                                <w:rFonts w:asciiTheme="minorHAnsi" w:eastAsia="Times New Roman" w:hAnsiTheme="minorHAnsi" w:cstheme="minorHAnsi"/>
                                <w:color w:val="333333"/>
                              </w:rPr>
                              <w:t>Sevices</w:t>
                            </w:r>
                            <w:proofErr w:type="spellEnd"/>
                            <w:r w:rsidRPr="00234BA4">
                              <w:rPr>
                                <w:rFonts w:asciiTheme="minorHAnsi" w:eastAsia="Times New Roman" w:hAnsiTheme="minorHAnsi" w:cstheme="minorHAnsi"/>
                                <w:color w:val="333333"/>
                              </w:rPr>
                              <w:t xml:space="preserve"> (CMS), and the Veterans Administration (VA). The ADRC’s purpose is to provide a </w:t>
                            </w:r>
                            <w:r w:rsidRPr="00234BA4"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</w:rPr>
                              <w:t xml:space="preserve">single coordinated system </w:t>
                            </w:r>
                            <w:r w:rsidRPr="00234BA4">
                              <w:rPr>
                                <w:rFonts w:asciiTheme="minorHAnsi" w:eastAsia="Times New Roman" w:hAnsiTheme="minorHAnsi" w:cstheme="minorHAnsi"/>
                                <w:color w:val="333333"/>
                              </w:rPr>
                              <w:t xml:space="preserve">for people seeking reliable information and access to </w:t>
                            </w:r>
                            <w:r w:rsidRPr="00234BA4"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</w:rPr>
                              <w:t>Long-Term Services and Supports (LTSS)</w:t>
                            </w:r>
                            <w:r w:rsidRPr="00234BA4">
                              <w:rPr>
                                <w:rFonts w:asciiTheme="minorHAnsi" w:eastAsia="Times New Roman" w:hAnsiTheme="minorHAnsi" w:cstheme="minorHAnsi"/>
                                <w:color w:val="333333"/>
                              </w:rPr>
                              <w:t>.</w:t>
                            </w:r>
                          </w:p>
                          <w:p w14:paraId="00288E6D" w14:textId="77777777" w:rsidR="00301017" w:rsidRPr="00234BA4" w:rsidRDefault="00301017" w:rsidP="00301017">
                            <w:pPr>
                              <w:shd w:val="clear" w:color="auto" w:fill="FFFFFF"/>
                              <w:spacing w:after="165" w:line="240" w:lineRule="auto"/>
                              <w:rPr>
                                <w:rFonts w:asciiTheme="minorHAnsi" w:eastAsia="Times New Roman" w:hAnsiTheme="minorHAnsi" w:cstheme="minorHAnsi"/>
                                <w:color w:val="333333"/>
                              </w:rPr>
                            </w:pPr>
                            <w:r w:rsidRPr="00234BA4">
                              <w:rPr>
                                <w:rFonts w:asciiTheme="minorHAnsi" w:eastAsia="Times New Roman" w:hAnsiTheme="minorHAnsi" w:cstheme="minorHAnsi"/>
                                <w:color w:val="333333"/>
                              </w:rPr>
                              <w:t>ADRCs are intended to act as a “</w:t>
                            </w:r>
                            <w:hyperlink r:id="rId12" w:tgtFrame="_blank" w:history="1">
                              <w:r w:rsidRPr="00234BA4">
                                <w:rPr>
                                  <w:rFonts w:asciiTheme="minorHAnsi" w:eastAsia="Times New Roman" w:hAnsiTheme="minorHAnsi" w:cstheme="minorHAnsi"/>
                                  <w:color w:val="2F77A0"/>
                                  <w:u w:val="single"/>
                                </w:rPr>
                                <w:t>No Wrong Door</w:t>
                              </w:r>
                            </w:hyperlink>
                            <w:r w:rsidRPr="00234BA4">
                              <w:rPr>
                                <w:rFonts w:asciiTheme="minorHAnsi" w:eastAsia="Times New Roman" w:hAnsiTheme="minorHAnsi" w:cstheme="minorHAnsi"/>
                                <w:color w:val="333333"/>
                              </w:rPr>
                              <w:t xml:space="preserve">” system, enabling people of all ages, incomes, and disabilities to connect with any one ADRC partner organization for access to a full array of Long-Term Services and Support  (LTSS) options in the community. </w:t>
                            </w:r>
                          </w:p>
                          <w:p w14:paraId="2EECABF6" w14:textId="77777777" w:rsidR="00301017" w:rsidRPr="00BE2CAF" w:rsidRDefault="00301017" w:rsidP="00301017">
                            <w:pPr>
                              <w:shd w:val="clear" w:color="auto" w:fill="FFFFFF"/>
                              <w:spacing w:after="165" w:line="240" w:lineRule="auto"/>
                              <w:rPr>
                                <w:rFonts w:ascii="Source Sans Pro" w:eastAsia="Times New Roman" w:hAnsi="Source Sans Pro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234BA4">
                              <w:rPr>
                                <w:rFonts w:asciiTheme="minorHAnsi" w:eastAsia="Times New Roman" w:hAnsiTheme="minorHAnsi" w:cstheme="minorHAnsi"/>
                                <w:color w:val="333333"/>
                              </w:rPr>
                              <w:t xml:space="preserve">California ADRCs are led by a core partnership between </w:t>
                            </w:r>
                            <w:hyperlink r:id="rId13" w:history="1">
                              <w:r w:rsidRPr="00234BA4">
                                <w:rPr>
                                  <w:rStyle w:val="Hyperlink"/>
                                  <w:rFonts w:asciiTheme="minorHAnsi" w:eastAsia="Times New Roman" w:hAnsiTheme="minorHAnsi" w:cstheme="minorHAnsi"/>
                                </w:rPr>
                                <w:t>Independent Living Centers </w:t>
                              </w:r>
                            </w:hyperlink>
                            <w:r w:rsidRPr="00234BA4">
                              <w:rPr>
                                <w:rFonts w:asciiTheme="minorHAnsi" w:eastAsia="Times New Roman" w:hAnsiTheme="minorHAnsi" w:cstheme="minorHAnsi"/>
                                <w:color w:val="333333"/>
                              </w:rPr>
                              <w:t>(ILCs) and </w:t>
                            </w:r>
                            <w:hyperlink r:id="rId14" w:history="1">
                              <w:r w:rsidRPr="00234BA4">
                                <w:rPr>
                                  <w:rFonts w:asciiTheme="minorHAnsi" w:eastAsia="Times New Roman" w:hAnsiTheme="minorHAnsi" w:cstheme="minorHAnsi"/>
                                  <w:color w:val="2F77A0"/>
                                  <w:u w:val="single"/>
                                </w:rPr>
                                <w:t>Area Agencies on Aging</w:t>
                              </w:r>
                            </w:hyperlink>
                            <w:r w:rsidRPr="00234BA4">
                              <w:rPr>
                                <w:rFonts w:asciiTheme="minorHAnsi" w:eastAsia="Times New Roman" w:hAnsiTheme="minorHAnsi" w:cstheme="minorHAnsi"/>
                                <w:color w:val="333333"/>
                              </w:rPr>
                              <w:t> (AAAs), and include a wide array of extended partner organizations</w:t>
                            </w:r>
                            <w:r w:rsidRPr="00234BA4"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37160" tIns="91440" rIns="9144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E6128" id="AutoShape 14" o:spid="_x0000_s1026" style="position:absolute;left:0;text-align:left;margin-left:368.25pt;margin-top:120pt;width:148.5pt;height:518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" strokecolor="#767171" strokeweight="1.25pt">
                <v:textbox inset="10.8pt,7.2pt,,5.76pt">
                  <w:txbxContent>
                    <w:p w14:paraId="4D66E9EA" w14:textId="31087DD3" w:rsidR="00301017" w:rsidRPr="00234BA4" w:rsidRDefault="00301017" w:rsidP="00301017">
                      <w:pPr>
                        <w:shd w:val="clear" w:color="auto" w:fill="FFFFFF"/>
                        <w:spacing w:after="165" w:line="240" w:lineRule="auto"/>
                        <w:rPr>
                          <w:rFonts w:asciiTheme="minorHAnsi" w:eastAsia="Times New Roman" w:hAnsiTheme="minorHAnsi" w:cstheme="minorHAnsi"/>
                          <w:color w:val="333333"/>
                        </w:rPr>
                      </w:pPr>
                      <w:r w:rsidRPr="00234BA4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333333"/>
                        </w:rPr>
                        <w:t>The Aging and Disability Resource Connection (ADRC</w:t>
                      </w:r>
                      <w:r w:rsidRPr="00234BA4">
                        <w:rPr>
                          <w:rFonts w:asciiTheme="minorHAnsi" w:eastAsia="Times New Roman" w:hAnsiTheme="minorHAnsi" w:cstheme="minorHAnsi"/>
                          <w:color w:val="333333"/>
                        </w:rPr>
                        <w:t xml:space="preserve">) initiative began as a collaborative effort between the State of California, the federal Administration for Community Living (ACL), the Centers for Medicare &amp; Medicaid </w:t>
                      </w:r>
                      <w:proofErr w:type="spellStart"/>
                      <w:r w:rsidRPr="00234BA4">
                        <w:rPr>
                          <w:rFonts w:asciiTheme="minorHAnsi" w:eastAsia="Times New Roman" w:hAnsiTheme="minorHAnsi" w:cstheme="minorHAnsi"/>
                          <w:color w:val="333333"/>
                        </w:rPr>
                        <w:t>Sevices</w:t>
                      </w:r>
                      <w:proofErr w:type="spellEnd"/>
                      <w:r w:rsidRPr="00234BA4">
                        <w:rPr>
                          <w:rFonts w:asciiTheme="minorHAnsi" w:eastAsia="Times New Roman" w:hAnsiTheme="minorHAnsi" w:cstheme="minorHAnsi"/>
                          <w:color w:val="333333"/>
                        </w:rPr>
                        <w:t xml:space="preserve"> (CMS), and the Veterans Administration (VA). The ADRC’s purpose is to provide a </w:t>
                      </w:r>
                      <w:r w:rsidRPr="00234BA4"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</w:rPr>
                        <w:t xml:space="preserve">single coordinated system </w:t>
                      </w:r>
                      <w:r w:rsidRPr="00234BA4">
                        <w:rPr>
                          <w:rFonts w:asciiTheme="minorHAnsi" w:eastAsia="Times New Roman" w:hAnsiTheme="minorHAnsi" w:cstheme="minorHAnsi"/>
                          <w:color w:val="333333"/>
                        </w:rPr>
                        <w:t xml:space="preserve">for people seeking reliable information and access to </w:t>
                      </w:r>
                      <w:r w:rsidRPr="00234BA4"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</w:rPr>
                        <w:t>Long-Term Services and Supports (LTSS)</w:t>
                      </w:r>
                      <w:r w:rsidRPr="00234BA4">
                        <w:rPr>
                          <w:rFonts w:asciiTheme="minorHAnsi" w:eastAsia="Times New Roman" w:hAnsiTheme="minorHAnsi" w:cstheme="minorHAnsi"/>
                          <w:color w:val="333333"/>
                        </w:rPr>
                        <w:t>.</w:t>
                      </w:r>
                    </w:p>
                    <w:p w14:paraId="00288E6D" w14:textId="77777777" w:rsidR="00301017" w:rsidRPr="00234BA4" w:rsidRDefault="00301017" w:rsidP="00301017">
                      <w:pPr>
                        <w:shd w:val="clear" w:color="auto" w:fill="FFFFFF"/>
                        <w:spacing w:after="165" w:line="240" w:lineRule="auto"/>
                        <w:rPr>
                          <w:rFonts w:asciiTheme="minorHAnsi" w:eastAsia="Times New Roman" w:hAnsiTheme="minorHAnsi" w:cstheme="minorHAnsi"/>
                          <w:color w:val="333333"/>
                        </w:rPr>
                      </w:pPr>
                      <w:r w:rsidRPr="00234BA4">
                        <w:rPr>
                          <w:rFonts w:asciiTheme="minorHAnsi" w:eastAsia="Times New Roman" w:hAnsiTheme="minorHAnsi" w:cstheme="minorHAnsi"/>
                          <w:color w:val="333333"/>
                        </w:rPr>
                        <w:t>ADRCs are intended to act as a “</w:t>
                      </w:r>
                      <w:hyperlink r:id="rId15" w:tgtFrame="_blank" w:history="1">
                        <w:r w:rsidRPr="00234BA4">
                          <w:rPr>
                            <w:rFonts w:asciiTheme="minorHAnsi" w:eastAsia="Times New Roman" w:hAnsiTheme="minorHAnsi" w:cstheme="minorHAnsi"/>
                            <w:color w:val="2F77A0"/>
                            <w:u w:val="single"/>
                          </w:rPr>
                          <w:t>No Wrong Door</w:t>
                        </w:r>
                      </w:hyperlink>
                      <w:r w:rsidRPr="00234BA4">
                        <w:rPr>
                          <w:rFonts w:asciiTheme="minorHAnsi" w:eastAsia="Times New Roman" w:hAnsiTheme="minorHAnsi" w:cstheme="minorHAnsi"/>
                          <w:color w:val="333333"/>
                        </w:rPr>
                        <w:t xml:space="preserve">” system, enabling people of all ages, incomes, and disabilities to connect with any one ADRC partner organization for access to a full array of Long-Term Services and Support  (LTSS) options in the community. </w:t>
                      </w:r>
                    </w:p>
                    <w:p w14:paraId="2EECABF6" w14:textId="77777777" w:rsidR="00301017" w:rsidRPr="00BE2CAF" w:rsidRDefault="00301017" w:rsidP="00301017">
                      <w:pPr>
                        <w:shd w:val="clear" w:color="auto" w:fill="FFFFFF"/>
                        <w:spacing w:after="165" w:line="240" w:lineRule="auto"/>
                        <w:rPr>
                          <w:rFonts w:ascii="Source Sans Pro" w:eastAsia="Times New Roman" w:hAnsi="Source Sans Pro"/>
                          <w:color w:val="333333"/>
                          <w:sz w:val="18"/>
                          <w:szCs w:val="18"/>
                        </w:rPr>
                      </w:pPr>
                      <w:r w:rsidRPr="00234BA4">
                        <w:rPr>
                          <w:rFonts w:asciiTheme="minorHAnsi" w:eastAsia="Times New Roman" w:hAnsiTheme="minorHAnsi" w:cstheme="minorHAnsi"/>
                          <w:color w:val="333333"/>
                        </w:rPr>
                        <w:t xml:space="preserve">California ADRCs are led by a core partnership between </w:t>
                      </w:r>
                      <w:hyperlink r:id="rId16" w:history="1">
                        <w:r w:rsidRPr="00234BA4">
                          <w:rPr>
                            <w:rStyle w:val="Hyperlink"/>
                            <w:rFonts w:asciiTheme="minorHAnsi" w:eastAsia="Times New Roman" w:hAnsiTheme="minorHAnsi" w:cstheme="minorHAnsi"/>
                          </w:rPr>
                          <w:t>Independent Living Centers </w:t>
                        </w:r>
                      </w:hyperlink>
                      <w:r w:rsidRPr="00234BA4">
                        <w:rPr>
                          <w:rFonts w:asciiTheme="minorHAnsi" w:eastAsia="Times New Roman" w:hAnsiTheme="minorHAnsi" w:cstheme="minorHAnsi"/>
                          <w:color w:val="333333"/>
                        </w:rPr>
                        <w:t>(ILCs) and </w:t>
                      </w:r>
                      <w:hyperlink r:id="rId17" w:history="1">
                        <w:r w:rsidRPr="00234BA4">
                          <w:rPr>
                            <w:rFonts w:asciiTheme="minorHAnsi" w:eastAsia="Times New Roman" w:hAnsiTheme="minorHAnsi" w:cstheme="minorHAnsi"/>
                            <w:color w:val="2F77A0"/>
                            <w:u w:val="single"/>
                          </w:rPr>
                          <w:t>Area Agencies on Aging</w:t>
                        </w:r>
                      </w:hyperlink>
                      <w:r w:rsidRPr="00234BA4">
                        <w:rPr>
                          <w:rFonts w:asciiTheme="minorHAnsi" w:eastAsia="Times New Roman" w:hAnsiTheme="minorHAnsi" w:cstheme="minorHAnsi"/>
                          <w:color w:val="333333"/>
                        </w:rPr>
                        <w:t> (AAAs), and include a wide array of extended partner organizations</w:t>
                      </w:r>
                      <w:r w:rsidRPr="00234BA4">
                        <w:rPr>
                          <w:rFonts w:asciiTheme="minorHAnsi" w:eastAsia="Times New Roman" w:hAnsiTheme="minorHAnsi" w:cstheme="minorHAnsi"/>
                          <w:color w:val="33333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8311C">
        <w:rPr>
          <w:rFonts w:ascii="Arial" w:hAnsi="Arial" w:cs="Arial"/>
          <w:iCs/>
          <w:noProof/>
        </w:rPr>
        <w:t>10:45 am</w:t>
      </w:r>
      <w:r w:rsidR="006A6711" w:rsidRPr="003B4380">
        <w:rPr>
          <w:rFonts w:ascii="Arial" w:hAnsi="Arial" w:cs="Arial"/>
        </w:rPr>
        <w:tab/>
      </w:r>
      <w:r w:rsidR="0064542B">
        <w:rPr>
          <w:rFonts w:ascii="Arial" w:hAnsi="Arial" w:cs="Arial"/>
          <w:b/>
          <w:color w:val="0070C0"/>
        </w:rPr>
        <w:t>History/Overview of ADRC/ADRH</w:t>
      </w:r>
      <w:r w:rsidR="00CA06F9">
        <w:rPr>
          <w:rFonts w:ascii="Arial" w:hAnsi="Arial" w:cs="Arial"/>
          <w:b/>
          <w:color w:val="0070C0"/>
        </w:rPr>
        <w:t xml:space="preserve">                  </w:t>
      </w:r>
      <w:r w:rsidR="00EC587C">
        <w:rPr>
          <w:rFonts w:ascii="Arial" w:hAnsi="Arial" w:cs="Arial"/>
          <w:b/>
          <w:color w:val="0070C0"/>
        </w:rPr>
        <w:t xml:space="preserve">       </w:t>
      </w:r>
      <w:proofErr w:type="gramStart"/>
      <w:r w:rsidR="00EC587C">
        <w:rPr>
          <w:rFonts w:ascii="Arial" w:hAnsi="Arial" w:cs="Arial"/>
          <w:b/>
          <w:color w:val="0070C0"/>
        </w:rPr>
        <w:t xml:space="preserve">   </w:t>
      </w:r>
      <w:r w:rsidR="00CA06F9">
        <w:rPr>
          <w:rFonts w:ascii="Arial" w:hAnsi="Arial" w:cs="Arial"/>
          <w:b/>
          <w:color w:val="0070C0"/>
        </w:rPr>
        <w:t>(</w:t>
      </w:r>
      <w:proofErr w:type="gramEnd"/>
      <w:r w:rsidR="00CA06F9">
        <w:rPr>
          <w:rFonts w:ascii="Arial" w:hAnsi="Arial" w:cs="Arial"/>
          <w:b/>
          <w:color w:val="0070C0"/>
        </w:rPr>
        <w:t>Betsey)</w:t>
      </w:r>
    </w:p>
    <w:p w14:paraId="01FB7B7F" w14:textId="519F59EF" w:rsidR="00B41408" w:rsidRDefault="00FA0796" w:rsidP="00B41408">
      <w:pPr>
        <w:pStyle w:val="ListParagraph"/>
        <w:numPr>
          <w:ilvl w:val="0"/>
          <w:numId w:val="20"/>
        </w:numPr>
        <w:tabs>
          <w:tab w:val="left" w:pos="810"/>
        </w:tabs>
        <w:spacing w:after="0" w:line="276" w:lineRule="auto"/>
        <w:rPr>
          <w:rFonts w:ascii="Arial" w:hAnsi="Arial" w:cs="Arial"/>
        </w:rPr>
      </w:pPr>
      <w:bookmarkStart w:id="0" w:name="_Hlk141087516"/>
      <w:bookmarkStart w:id="1" w:name="_Hlk141086400"/>
      <w:r>
        <w:rPr>
          <w:rFonts w:ascii="Arial" w:hAnsi="Arial" w:cs="Arial"/>
        </w:rPr>
        <w:t>Short overview of ADRC and ADRH development</w:t>
      </w:r>
    </w:p>
    <w:p w14:paraId="28D729F8" w14:textId="2EFD4D05" w:rsidR="00B34CEF" w:rsidRDefault="00B34CEF" w:rsidP="00B41408">
      <w:pPr>
        <w:pStyle w:val="ListParagraph"/>
        <w:numPr>
          <w:ilvl w:val="0"/>
          <w:numId w:val="20"/>
        </w:numPr>
        <w:tabs>
          <w:tab w:val="left" w:pos="8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Four core services and Referral Process</w:t>
      </w:r>
    </w:p>
    <w:p w14:paraId="66CDC299" w14:textId="30E1B7D5" w:rsidR="0064542B" w:rsidRDefault="0064542B" w:rsidP="0064542B">
      <w:pPr>
        <w:pStyle w:val="ListParagraph"/>
        <w:numPr>
          <w:ilvl w:val="0"/>
          <w:numId w:val="20"/>
        </w:numPr>
        <w:tabs>
          <w:tab w:val="left" w:pos="8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Role of ADRC Advisory Committee</w:t>
      </w:r>
      <w:r w:rsidR="00CA06F9">
        <w:rPr>
          <w:rFonts w:ascii="Arial" w:hAnsi="Arial" w:cs="Arial"/>
        </w:rPr>
        <w:t xml:space="preserve"> (past)</w:t>
      </w:r>
    </w:p>
    <w:p w14:paraId="2D6EDB94" w14:textId="4368D949" w:rsidR="00CA06F9" w:rsidRDefault="00CA06F9" w:rsidP="0064542B">
      <w:pPr>
        <w:pStyle w:val="ListParagraph"/>
        <w:numPr>
          <w:ilvl w:val="0"/>
          <w:numId w:val="20"/>
        </w:numPr>
        <w:tabs>
          <w:tab w:val="left" w:pos="8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Vision for NWD Committee</w:t>
      </w:r>
    </w:p>
    <w:p w14:paraId="73F6CCD9" w14:textId="51C795D0" w:rsidR="00A32C58" w:rsidRPr="00A32C58" w:rsidRDefault="00B34CEF" w:rsidP="00A32C58">
      <w:pPr>
        <w:pStyle w:val="ListParagraph"/>
        <w:numPr>
          <w:ilvl w:val="0"/>
          <w:numId w:val="20"/>
        </w:numPr>
        <w:tabs>
          <w:tab w:val="left" w:pos="8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Q &amp; A</w:t>
      </w:r>
      <w:bookmarkStart w:id="2" w:name="_Hlk141111329"/>
    </w:p>
    <w:p w14:paraId="0C5824D8" w14:textId="3F8F152D" w:rsidR="00A32C58" w:rsidRDefault="00A32C58" w:rsidP="00A32C58">
      <w:pPr>
        <w:tabs>
          <w:tab w:val="left" w:pos="810"/>
        </w:tabs>
        <w:spacing w:after="0" w:line="276" w:lineRule="auto"/>
        <w:rPr>
          <w:rFonts w:ascii="Arial" w:hAnsi="Arial" w:cs="Arial"/>
        </w:rPr>
      </w:pPr>
    </w:p>
    <w:p w14:paraId="1F31EAF3" w14:textId="401DFCE6" w:rsidR="003B7A07" w:rsidRDefault="005B7CAB" w:rsidP="003B7A07">
      <w:pPr>
        <w:tabs>
          <w:tab w:val="left" w:pos="810"/>
        </w:tabs>
        <w:spacing w:after="0" w:line="276" w:lineRule="auto"/>
        <w:ind w:left="-634" w:firstLine="187"/>
        <w:rPr>
          <w:rFonts w:ascii="Arial" w:hAnsi="Arial" w:cs="Arial"/>
          <w:b/>
          <w:color w:val="0070C0"/>
        </w:rPr>
      </w:pPr>
      <w:r>
        <w:rPr>
          <w:rFonts w:ascii="Arial" w:hAnsi="Arial" w:cs="Arial"/>
        </w:rPr>
        <w:t>11:</w:t>
      </w:r>
      <w:r w:rsidR="00B8311C">
        <w:rPr>
          <w:rFonts w:ascii="Arial" w:hAnsi="Arial" w:cs="Arial"/>
        </w:rPr>
        <w:t>05</w:t>
      </w:r>
      <w:r w:rsidR="003B7A07" w:rsidRPr="003D259D">
        <w:rPr>
          <w:rFonts w:ascii="Arial" w:hAnsi="Arial" w:cs="Arial"/>
        </w:rPr>
        <w:t xml:space="preserve"> </w:t>
      </w:r>
      <w:r w:rsidR="00B8311C">
        <w:rPr>
          <w:rFonts w:ascii="Arial" w:hAnsi="Arial" w:cs="Arial"/>
        </w:rPr>
        <w:t>a</w:t>
      </w:r>
      <w:r w:rsidR="003B7A07" w:rsidRPr="003D259D">
        <w:rPr>
          <w:rFonts w:ascii="Arial" w:hAnsi="Arial" w:cs="Arial"/>
        </w:rPr>
        <w:t>m</w:t>
      </w:r>
      <w:r w:rsidR="003B7A07" w:rsidRPr="003D259D">
        <w:rPr>
          <w:rFonts w:ascii="Arial" w:hAnsi="Arial" w:cs="Arial"/>
          <w:b/>
          <w:color w:val="0070C0"/>
        </w:rPr>
        <w:tab/>
      </w:r>
      <w:r w:rsidR="0064542B">
        <w:rPr>
          <w:rFonts w:ascii="Arial" w:hAnsi="Arial" w:cs="Arial"/>
          <w:b/>
          <w:color w:val="0070C0"/>
        </w:rPr>
        <w:t>Committee structure</w:t>
      </w:r>
      <w:r w:rsidR="00CA06F9">
        <w:rPr>
          <w:rFonts w:ascii="Arial" w:hAnsi="Arial" w:cs="Arial"/>
          <w:b/>
          <w:color w:val="0070C0"/>
        </w:rPr>
        <w:t xml:space="preserve">                                           </w:t>
      </w:r>
      <w:r w:rsidR="00EC587C">
        <w:rPr>
          <w:rFonts w:ascii="Arial" w:hAnsi="Arial" w:cs="Arial"/>
          <w:b/>
          <w:color w:val="0070C0"/>
        </w:rPr>
        <w:t xml:space="preserve">    </w:t>
      </w:r>
      <w:proofErr w:type="gramStart"/>
      <w:r w:rsidR="00CA06F9">
        <w:rPr>
          <w:rFonts w:ascii="Arial" w:hAnsi="Arial" w:cs="Arial"/>
          <w:b/>
          <w:color w:val="0070C0"/>
        </w:rPr>
        <w:t xml:space="preserve">   (</w:t>
      </w:r>
      <w:proofErr w:type="gramEnd"/>
      <w:r w:rsidR="00CA06F9">
        <w:rPr>
          <w:rFonts w:ascii="Arial" w:hAnsi="Arial" w:cs="Arial"/>
          <w:b/>
          <w:color w:val="0070C0"/>
        </w:rPr>
        <w:t>Jenny)</w:t>
      </w:r>
    </w:p>
    <w:p w14:paraId="21476D3D" w14:textId="570F0FDA" w:rsidR="006009A9" w:rsidRDefault="006009A9" w:rsidP="006009A9">
      <w:pPr>
        <w:pStyle w:val="ListParagraph"/>
        <w:numPr>
          <w:ilvl w:val="0"/>
          <w:numId w:val="20"/>
        </w:numPr>
        <w:tabs>
          <w:tab w:val="left" w:pos="8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Confirm regular meeting schedule</w:t>
      </w:r>
    </w:p>
    <w:p w14:paraId="35C536CD" w14:textId="5018F9A2" w:rsidR="0064542B" w:rsidRDefault="006009A9" w:rsidP="00FA0796">
      <w:pPr>
        <w:pStyle w:val="ListParagraph"/>
        <w:numPr>
          <w:ilvl w:val="0"/>
          <w:numId w:val="20"/>
        </w:numPr>
        <w:tabs>
          <w:tab w:val="left" w:pos="8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Confirming members</w:t>
      </w:r>
    </w:p>
    <w:p w14:paraId="38B91155" w14:textId="5B63CB7C" w:rsidR="00FA0796" w:rsidRDefault="00FA0796" w:rsidP="00FA0796">
      <w:pPr>
        <w:pStyle w:val="ListParagraph"/>
        <w:numPr>
          <w:ilvl w:val="0"/>
          <w:numId w:val="20"/>
        </w:numPr>
        <w:tabs>
          <w:tab w:val="left" w:pos="8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Elect committee chair and Vice Chair</w:t>
      </w:r>
      <w:r w:rsidR="00CA06F9">
        <w:rPr>
          <w:rFonts w:ascii="Arial" w:hAnsi="Arial" w:cs="Arial"/>
        </w:rPr>
        <w:t xml:space="preserve">       </w:t>
      </w:r>
    </w:p>
    <w:p w14:paraId="57D074A1" w14:textId="507B16C7" w:rsidR="00A32C58" w:rsidRPr="00A32C58" w:rsidRDefault="00CA06F9" w:rsidP="00A32C58">
      <w:pPr>
        <w:pStyle w:val="ListParagraph"/>
        <w:numPr>
          <w:ilvl w:val="1"/>
          <w:numId w:val="20"/>
        </w:numPr>
        <w:tabs>
          <w:tab w:val="left" w:pos="8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Describe roles and responsibilities</w:t>
      </w:r>
    </w:p>
    <w:p w14:paraId="7E2BAB6D" w14:textId="77777777" w:rsidR="00A32C58" w:rsidRPr="00A32C58" w:rsidRDefault="00A32C58" w:rsidP="00A32C58">
      <w:pPr>
        <w:pStyle w:val="ListParagraph"/>
        <w:tabs>
          <w:tab w:val="left" w:pos="810"/>
        </w:tabs>
        <w:spacing w:after="0" w:line="276" w:lineRule="auto"/>
        <w:ind w:left="2520"/>
        <w:rPr>
          <w:rFonts w:ascii="Arial" w:hAnsi="Arial" w:cs="Arial"/>
        </w:rPr>
      </w:pPr>
    </w:p>
    <w:p w14:paraId="488C9111" w14:textId="456D104F" w:rsidR="00A32C58" w:rsidRDefault="00A32C58" w:rsidP="00A32C58">
      <w:pPr>
        <w:tabs>
          <w:tab w:val="left" w:pos="810"/>
        </w:tabs>
        <w:spacing w:after="0" w:line="276" w:lineRule="auto"/>
        <w:ind w:left="-634" w:firstLine="187"/>
        <w:rPr>
          <w:rFonts w:ascii="Arial" w:hAnsi="Arial" w:cs="Arial"/>
          <w:b/>
          <w:color w:val="0070C0"/>
        </w:rPr>
      </w:pPr>
      <w:r w:rsidRPr="00A32C58">
        <w:rPr>
          <w:rFonts w:ascii="Arial" w:hAnsi="Arial" w:cs="Arial"/>
        </w:rPr>
        <w:t>11:</w:t>
      </w:r>
      <w:r>
        <w:rPr>
          <w:rFonts w:ascii="Arial" w:hAnsi="Arial" w:cs="Arial"/>
        </w:rPr>
        <w:t>2</w:t>
      </w:r>
      <w:r w:rsidR="00B8311C">
        <w:rPr>
          <w:rFonts w:ascii="Arial" w:hAnsi="Arial" w:cs="Arial"/>
        </w:rPr>
        <w:t>5</w:t>
      </w:r>
      <w:r w:rsidRPr="00A32C58">
        <w:rPr>
          <w:rFonts w:ascii="Arial" w:hAnsi="Arial" w:cs="Arial"/>
        </w:rPr>
        <w:t xml:space="preserve"> </w:t>
      </w:r>
      <w:r w:rsidR="00B8311C">
        <w:rPr>
          <w:rFonts w:ascii="Arial" w:hAnsi="Arial" w:cs="Arial"/>
        </w:rPr>
        <w:t>a</w:t>
      </w:r>
      <w:r w:rsidRPr="00A32C58">
        <w:rPr>
          <w:rFonts w:ascii="Arial" w:hAnsi="Arial" w:cs="Arial"/>
        </w:rPr>
        <w:t>m</w:t>
      </w:r>
      <w:r w:rsidRPr="00A32C58">
        <w:rPr>
          <w:rFonts w:ascii="Arial" w:hAnsi="Arial" w:cs="Arial"/>
        </w:rPr>
        <w:tab/>
      </w:r>
      <w:r w:rsidRPr="00A32C58">
        <w:rPr>
          <w:rFonts w:ascii="Arial" w:hAnsi="Arial" w:cs="Arial"/>
          <w:b/>
          <w:color w:val="0070C0"/>
        </w:rPr>
        <w:t>Public comment</w:t>
      </w:r>
      <w:r>
        <w:rPr>
          <w:rFonts w:ascii="Arial" w:hAnsi="Arial" w:cs="Arial"/>
          <w:b/>
          <w:color w:val="0070C0"/>
        </w:rPr>
        <w:t xml:space="preserve">     </w:t>
      </w:r>
      <w:r w:rsidR="00B8311C">
        <w:rPr>
          <w:rFonts w:ascii="Arial" w:hAnsi="Arial" w:cs="Arial"/>
          <w:b/>
          <w:color w:val="0070C0"/>
        </w:rPr>
        <w:t xml:space="preserve">                                                     </w:t>
      </w:r>
    </w:p>
    <w:p w14:paraId="2639E65C" w14:textId="77777777" w:rsidR="00A32C58" w:rsidRDefault="00A32C58" w:rsidP="00A32C58">
      <w:pPr>
        <w:tabs>
          <w:tab w:val="left" w:pos="810"/>
        </w:tabs>
        <w:spacing w:after="0" w:line="276" w:lineRule="auto"/>
        <w:ind w:left="-634" w:firstLine="187"/>
        <w:rPr>
          <w:rFonts w:ascii="Arial" w:hAnsi="Arial" w:cs="Arial"/>
          <w:b/>
          <w:color w:val="0070C0"/>
        </w:rPr>
      </w:pPr>
    </w:p>
    <w:p w14:paraId="115F1E87" w14:textId="498001EE" w:rsidR="00B34CEF" w:rsidRPr="00A32C58" w:rsidRDefault="00A32C58" w:rsidP="00A32C58">
      <w:pPr>
        <w:tabs>
          <w:tab w:val="left" w:pos="810"/>
        </w:tabs>
        <w:spacing w:after="0" w:line="276" w:lineRule="auto"/>
        <w:ind w:left="-634" w:firstLine="187"/>
        <w:rPr>
          <w:rFonts w:ascii="Arial" w:hAnsi="Arial" w:cs="Arial"/>
        </w:rPr>
      </w:pPr>
      <w:proofErr w:type="gramStart"/>
      <w:r w:rsidRPr="00A32C58">
        <w:rPr>
          <w:rFonts w:ascii="Arial" w:hAnsi="Arial" w:cs="Arial"/>
          <w:bCs/>
        </w:rPr>
        <w:t>11:</w:t>
      </w:r>
      <w:r w:rsidR="00B8311C">
        <w:rPr>
          <w:rFonts w:ascii="Arial" w:hAnsi="Arial" w:cs="Arial"/>
          <w:bCs/>
        </w:rPr>
        <w:t>30</w:t>
      </w:r>
      <w:r w:rsidRPr="00A32C58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pm</w:t>
      </w:r>
      <w:proofErr w:type="gramEnd"/>
      <w:r>
        <w:rPr>
          <w:rFonts w:ascii="Arial" w:hAnsi="Arial" w:cs="Arial"/>
          <w:bCs/>
        </w:rPr>
        <w:t xml:space="preserve">    </w:t>
      </w:r>
      <w:r w:rsidRPr="00A32C58">
        <w:rPr>
          <w:rFonts w:ascii="Arial" w:hAnsi="Arial" w:cs="Arial"/>
          <w:bCs/>
        </w:rPr>
        <w:t xml:space="preserve"> </w:t>
      </w:r>
      <w:r w:rsidRPr="00A32C58">
        <w:rPr>
          <w:rFonts w:ascii="Arial" w:hAnsi="Arial" w:cs="Arial"/>
          <w:b/>
          <w:color w:val="0070C0"/>
        </w:rPr>
        <w:t>Wrap up</w:t>
      </w:r>
      <w:r w:rsidRPr="00A32C58">
        <w:rPr>
          <w:rFonts w:ascii="Arial" w:hAnsi="Arial" w:cs="Arial"/>
          <w:bCs/>
        </w:rPr>
        <w:t xml:space="preserve">   </w:t>
      </w:r>
      <w:r w:rsidRPr="00A32C58">
        <w:rPr>
          <w:rFonts w:ascii="Arial" w:hAnsi="Arial" w:cs="Arial"/>
        </w:rPr>
        <w:t xml:space="preserve">                                              </w:t>
      </w:r>
    </w:p>
    <w:p w14:paraId="1717B150" w14:textId="77777777" w:rsidR="00B34CEF" w:rsidRDefault="00B34CEF" w:rsidP="00B41408">
      <w:pPr>
        <w:tabs>
          <w:tab w:val="left" w:pos="810"/>
        </w:tabs>
        <w:spacing w:after="0" w:line="276" w:lineRule="auto"/>
        <w:rPr>
          <w:rFonts w:ascii="Arial" w:hAnsi="Arial" w:cs="Arial"/>
        </w:rPr>
      </w:pPr>
    </w:p>
    <w:p w14:paraId="24A252AB" w14:textId="77777777" w:rsidR="00B41408" w:rsidRPr="00B41408" w:rsidRDefault="00B41408" w:rsidP="00B41408">
      <w:pPr>
        <w:tabs>
          <w:tab w:val="left" w:pos="0"/>
        </w:tabs>
        <w:spacing w:after="0" w:line="276" w:lineRule="auto"/>
        <w:rPr>
          <w:rFonts w:ascii="Arial" w:hAnsi="Arial" w:cs="Arial"/>
        </w:rPr>
      </w:pPr>
    </w:p>
    <w:p w14:paraId="6A62D317" w14:textId="77777777" w:rsidR="006009A9" w:rsidRDefault="006009A9" w:rsidP="00BC3403">
      <w:pPr>
        <w:tabs>
          <w:tab w:val="left" w:pos="810"/>
        </w:tabs>
        <w:spacing w:after="0" w:line="276" w:lineRule="auto"/>
        <w:rPr>
          <w:rFonts w:ascii="Arial" w:hAnsi="Arial" w:cs="Arial"/>
        </w:rPr>
      </w:pPr>
    </w:p>
    <w:p w14:paraId="63ABF394" w14:textId="77777777" w:rsidR="00BC3403" w:rsidRDefault="00BC3403" w:rsidP="00BC3403">
      <w:pPr>
        <w:tabs>
          <w:tab w:val="left" w:pos="810"/>
        </w:tabs>
        <w:spacing w:after="0" w:line="276" w:lineRule="auto"/>
        <w:rPr>
          <w:rFonts w:ascii="Arial" w:hAnsi="Arial" w:cs="Arial"/>
        </w:rPr>
      </w:pPr>
    </w:p>
    <w:p w14:paraId="2FA8CFEF" w14:textId="77777777" w:rsidR="00BC3403" w:rsidRPr="00BC3403" w:rsidRDefault="00BC3403" w:rsidP="00BC3403">
      <w:pPr>
        <w:tabs>
          <w:tab w:val="left" w:pos="810"/>
        </w:tabs>
        <w:spacing w:after="0" w:line="276" w:lineRule="auto"/>
        <w:rPr>
          <w:rFonts w:ascii="Arial" w:hAnsi="Arial" w:cs="Arial"/>
        </w:rPr>
      </w:pPr>
    </w:p>
    <w:p w14:paraId="398BF355" w14:textId="219B3612" w:rsidR="00FA0796" w:rsidRPr="00FA0796" w:rsidRDefault="00FA0796" w:rsidP="00FA0796">
      <w:pPr>
        <w:pStyle w:val="ListParagraph"/>
        <w:tabs>
          <w:tab w:val="left" w:pos="810"/>
        </w:tabs>
        <w:spacing w:after="0" w:line="276" w:lineRule="auto"/>
        <w:ind w:left="1800"/>
        <w:rPr>
          <w:rFonts w:ascii="Arial" w:hAnsi="Arial" w:cs="Arial"/>
        </w:rPr>
      </w:pPr>
    </w:p>
    <w:p w14:paraId="4F384DB3" w14:textId="65659BFA" w:rsidR="0064542B" w:rsidRPr="003D259D" w:rsidRDefault="0064542B" w:rsidP="003B7A07">
      <w:pPr>
        <w:tabs>
          <w:tab w:val="left" w:pos="810"/>
        </w:tabs>
        <w:spacing w:after="0" w:line="276" w:lineRule="auto"/>
        <w:ind w:left="-634" w:firstLine="187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ab/>
      </w:r>
    </w:p>
    <w:bookmarkEnd w:id="0"/>
    <w:bookmarkEnd w:id="1"/>
    <w:bookmarkEnd w:id="2"/>
    <w:p w14:paraId="7546E09F" w14:textId="77777777" w:rsidR="003B4380" w:rsidRPr="003D259D" w:rsidRDefault="003B4380" w:rsidP="003B4380">
      <w:pPr>
        <w:spacing w:after="0" w:line="276" w:lineRule="auto"/>
        <w:ind w:left="1350"/>
        <w:rPr>
          <w:rFonts w:ascii="Arial" w:hAnsi="Arial" w:cs="Arial"/>
          <w:sz w:val="16"/>
          <w:szCs w:val="16"/>
        </w:rPr>
      </w:pPr>
    </w:p>
    <w:p w14:paraId="169E97B4" w14:textId="6A16DA6B" w:rsidR="00FA54B6" w:rsidRPr="003D259D" w:rsidRDefault="00FA54B6" w:rsidP="00FA54B6">
      <w:pPr>
        <w:spacing w:after="0" w:line="276" w:lineRule="auto"/>
        <w:rPr>
          <w:rFonts w:ascii="Arial" w:hAnsi="Arial" w:cs="Arial"/>
        </w:rPr>
      </w:pPr>
      <w:bookmarkStart w:id="3" w:name="_Hlk141087569"/>
      <w:r w:rsidRPr="003D259D">
        <w:rPr>
          <w:rFonts w:ascii="Arial" w:hAnsi="Arial" w:cs="Arial"/>
        </w:rPr>
        <w:t xml:space="preserve">             </w:t>
      </w:r>
    </w:p>
    <w:p w14:paraId="64B0E5A7" w14:textId="77777777" w:rsidR="00FA54B6" w:rsidRDefault="00FA54B6" w:rsidP="00F27C2D">
      <w:pPr>
        <w:tabs>
          <w:tab w:val="left" w:pos="810"/>
        </w:tabs>
        <w:spacing w:after="0" w:line="276" w:lineRule="auto"/>
        <w:ind w:left="-634" w:firstLine="187"/>
        <w:rPr>
          <w:rFonts w:ascii="Arial" w:hAnsi="Arial" w:cs="Arial"/>
        </w:rPr>
      </w:pPr>
    </w:p>
    <w:p w14:paraId="1C1CE29F" w14:textId="77777777" w:rsidR="00FA54B6" w:rsidRDefault="00FA54B6" w:rsidP="00F27C2D">
      <w:pPr>
        <w:tabs>
          <w:tab w:val="left" w:pos="810"/>
        </w:tabs>
        <w:spacing w:after="0" w:line="276" w:lineRule="auto"/>
        <w:ind w:left="-634" w:firstLine="187"/>
        <w:rPr>
          <w:rFonts w:ascii="Arial" w:hAnsi="Arial" w:cs="Arial"/>
        </w:rPr>
      </w:pPr>
    </w:p>
    <w:p w14:paraId="6AB24760" w14:textId="77777777" w:rsidR="00FA54B6" w:rsidRDefault="00FA54B6" w:rsidP="00F27C2D">
      <w:pPr>
        <w:tabs>
          <w:tab w:val="left" w:pos="810"/>
        </w:tabs>
        <w:spacing w:after="0" w:line="276" w:lineRule="auto"/>
        <w:ind w:left="-634" w:firstLine="187"/>
        <w:rPr>
          <w:rFonts w:ascii="Arial" w:hAnsi="Arial" w:cs="Arial"/>
        </w:rPr>
      </w:pPr>
    </w:p>
    <w:bookmarkEnd w:id="3"/>
    <w:p w14:paraId="01415C07" w14:textId="210D8114" w:rsidR="00FA54B6" w:rsidRPr="00CF54AE" w:rsidRDefault="002B6A4D" w:rsidP="00CF54AE">
      <w:pPr>
        <w:spacing w:after="0" w:line="360" w:lineRule="auto"/>
        <w:ind w:right="180"/>
        <w:rPr>
          <w:rFonts w:ascii="Arial" w:hAnsi="Arial" w:cs="Arial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669361F" wp14:editId="0D4E02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Text Box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3696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50pt;height:50pt;z-index:251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BUSQnW+AEAAOY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</w:p>
    <w:p w14:paraId="64FE3281" w14:textId="77777777" w:rsidR="00CF54AE" w:rsidRPr="00EC1403" w:rsidRDefault="00CF54AE" w:rsidP="00CF54AE">
      <w:pPr>
        <w:rPr>
          <w:b/>
          <w:bCs/>
          <w:sz w:val="24"/>
          <w:szCs w:val="24"/>
        </w:rPr>
      </w:pPr>
      <w:r w:rsidRPr="00EC1403">
        <w:rPr>
          <w:b/>
          <w:bCs/>
          <w:sz w:val="24"/>
          <w:szCs w:val="24"/>
        </w:rPr>
        <w:lastRenderedPageBreak/>
        <w:t>Sonoma County Aging and Disability Commission</w:t>
      </w:r>
    </w:p>
    <w:p w14:paraId="3FE9DCAF" w14:textId="09C401F7" w:rsidR="00F450A8" w:rsidRPr="004F32CD" w:rsidRDefault="00CF54AE" w:rsidP="00CF54AE">
      <w:pPr>
        <w:rPr>
          <w:b/>
          <w:bCs/>
          <w:sz w:val="24"/>
          <w:szCs w:val="24"/>
        </w:rPr>
      </w:pPr>
      <w:r w:rsidRPr="00EC1403">
        <w:rPr>
          <w:b/>
          <w:bCs/>
          <w:sz w:val="24"/>
          <w:szCs w:val="24"/>
        </w:rPr>
        <w:t xml:space="preserve">No Wrong Door Standing Committee </w:t>
      </w:r>
    </w:p>
    <w:p w14:paraId="02EF0EC3" w14:textId="77777777" w:rsidR="00CF54AE" w:rsidRPr="00EC1403" w:rsidRDefault="00CF54AE" w:rsidP="00CF54AE">
      <w:pPr>
        <w:rPr>
          <w:sz w:val="24"/>
          <w:szCs w:val="24"/>
        </w:rPr>
      </w:pPr>
      <w:r w:rsidRPr="00EC1403">
        <w:rPr>
          <w:sz w:val="24"/>
          <w:szCs w:val="24"/>
        </w:rPr>
        <w:t xml:space="preserve">Purpose:  </w:t>
      </w:r>
    </w:p>
    <w:p w14:paraId="2816070A" w14:textId="77777777" w:rsidR="00CF54AE" w:rsidRPr="00EC1403" w:rsidRDefault="00CF54AE" w:rsidP="00CF54AE">
      <w:pPr>
        <w:rPr>
          <w:sz w:val="24"/>
          <w:szCs w:val="24"/>
        </w:rPr>
      </w:pPr>
      <w:r w:rsidRPr="00EC1403">
        <w:rPr>
          <w:sz w:val="24"/>
          <w:szCs w:val="24"/>
        </w:rPr>
        <w:t xml:space="preserve">The No Wrong Door Standing Committee supports the continued efforts in the Sonoma County community to increase equitable access to information, assistance, and </w:t>
      </w:r>
      <w:proofErr w:type="gramStart"/>
      <w:r w:rsidRPr="00EC1403">
        <w:rPr>
          <w:sz w:val="24"/>
          <w:szCs w:val="24"/>
        </w:rPr>
        <w:t>supports</w:t>
      </w:r>
      <w:proofErr w:type="gramEnd"/>
      <w:r w:rsidRPr="00EC1403">
        <w:rPr>
          <w:sz w:val="24"/>
          <w:szCs w:val="24"/>
        </w:rPr>
        <w:t xml:space="preserve"> needed for older adults and people with disabilities to live as independently as possible at home.  </w:t>
      </w:r>
    </w:p>
    <w:p w14:paraId="7018C6F3" w14:textId="77777777" w:rsidR="00CF54AE" w:rsidRPr="00EC1403" w:rsidRDefault="00CF54AE" w:rsidP="00CF54AE">
      <w:pPr>
        <w:rPr>
          <w:sz w:val="24"/>
          <w:szCs w:val="24"/>
        </w:rPr>
      </w:pPr>
      <w:r w:rsidRPr="00EC1403">
        <w:rPr>
          <w:sz w:val="24"/>
          <w:szCs w:val="24"/>
        </w:rPr>
        <w:t>The Standing Committee supports these efforts through:</w:t>
      </w:r>
    </w:p>
    <w:p w14:paraId="01955197" w14:textId="77777777" w:rsidR="00CF54AE" w:rsidRPr="00EC1403" w:rsidRDefault="00CF54AE" w:rsidP="00CF54A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C1403">
        <w:rPr>
          <w:sz w:val="24"/>
          <w:szCs w:val="24"/>
        </w:rPr>
        <w:t>Providing feedback, guidance and planning support related to No Wrong Door activities and initiatives</w:t>
      </w:r>
    </w:p>
    <w:p w14:paraId="5867C454" w14:textId="77777777" w:rsidR="00CF54AE" w:rsidRPr="00EC1403" w:rsidRDefault="00CF54AE" w:rsidP="00CF54A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C1403">
        <w:rPr>
          <w:sz w:val="24"/>
          <w:szCs w:val="24"/>
        </w:rPr>
        <w:t>Identifying unmet needs within the community and developing strategies to address them</w:t>
      </w:r>
    </w:p>
    <w:p w14:paraId="1FE3A662" w14:textId="77777777" w:rsidR="00CF54AE" w:rsidRPr="00EC1403" w:rsidRDefault="00CF54AE" w:rsidP="00CF54AE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EC1403">
        <w:rPr>
          <w:sz w:val="24"/>
          <w:szCs w:val="24"/>
        </w:rPr>
        <w:t xml:space="preserve">Ensuring input from consumers, service providers and community members </w:t>
      </w:r>
    </w:p>
    <w:p w14:paraId="7B72B0B3" w14:textId="77777777" w:rsidR="00CF54AE" w:rsidRPr="00EC1403" w:rsidRDefault="00CF54AE" w:rsidP="00CF54AE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EC1403">
        <w:rPr>
          <w:sz w:val="24"/>
          <w:szCs w:val="24"/>
        </w:rPr>
        <w:t>Ensuring that all target populations are adequately served</w:t>
      </w:r>
    </w:p>
    <w:p w14:paraId="79F1BE95" w14:textId="77777777" w:rsidR="00CF54AE" w:rsidRPr="00EC1403" w:rsidRDefault="00CF54AE" w:rsidP="00CF54A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C1403">
        <w:rPr>
          <w:sz w:val="24"/>
          <w:szCs w:val="24"/>
        </w:rPr>
        <w:t>Serving in an advisory capacity for the Sonoma County Aging and Disability Resource Hub (ADRH)</w:t>
      </w:r>
    </w:p>
    <w:p w14:paraId="4A294833" w14:textId="77777777" w:rsidR="00CF54AE" w:rsidRPr="00EC1403" w:rsidRDefault="00CF54AE" w:rsidP="00CF54A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C1403">
        <w:rPr>
          <w:sz w:val="24"/>
          <w:szCs w:val="24"/>
        </w:rPr>
        <w:t>Advocacy and community engagement</w:t>
      </w:r>
    </w:p>
    <w:p w14:paraId="2CC39FED" w14:textId="77777777" w:rsidR="00CF54AE" w:rsidRPr="004F32CD" w:rsidRDefault="00CF54AE" w:rsidP="00CF54AE">
      <w:pPr>
        <w:pStyle w:val="ListParagraph"/>
        <w:rPr>
          <w:sz w:val="20"/>
          <w:szCs w:val="20"/>
        </w:rPr>
      </w:pPr>
    </w:p>
    <w:p w14:paraId="67DB00F1" w14:textId="77777777" w:rsidR="00CF54AE" w:rsidRPr="00EC1403" w:rsidRDefault="00CF54AE" w:rsidP="00CF54AE">
      <w:pPr>
        <w:rPr>
          <w:sz w:val="24"/>
          <w:szCs w:val="24"/>
        </w:rPr>
      </w:pPr>
      <w:r w:rsidRPr="00EC1403">
        <w:rPr>
          <w:sz w:val="24"/>
          <w:szCs w:val="24"/>
        </w:rPr>
        <w:t>Anticipated typical activities:</w:t>
      </w:r>
    </w:p>
    <w:p w14:paraId="57C00015" w14:textId="77777777" w:rsidR="00CF54AE" w:rsidRPr="00EC1403" w:rsidRDefault="00CF54AE" w:rsidP="00CF54A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C1403">
        <w:rPr>
          <w:sz w:val="24"/>
          <w:szCs w:val="24"/>
        </w:rPr>
        <w:t>Routine meeting attendance (Aging and Disability Commission meetings and Standing Committee meetings)</w:t>
      </w:r>
    </w:p>
    <w:p w14:paraId="7BCFF9FF" w14:textId="77777777" w:rsidR="00CF54AE" w:rsidRPr="00EC1403" w:rsidRDefault="00CF54AE" w:rsidP="00CF54A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C1403">
        <w:rPr>
          <w:sz w:val="24"/>
          <w:szCs w:val="24"/>
        </w:rPr>
        <w:t xml:space="preserve">Review staff provided materials or plans and </w:t>
      </w:r>
      <w:proofErr w:type="gramStart"/>
      <w:r w:rsidRPr="00EC1403">
        <w:rPr>
          <w:sz w:val="24"/>
          <w:szCs w:val="24"/>
        </w:rPr>
        <w:t>provide</w:t>
      </w:r>
      <w:proofErr w:type="gramEnd"/>
      <w:r w:rsidRPr="00EC1403">
        <w:rPr>
          <w:sz w:val="24"/>
          <w:szCs w:val="24"/>
        </w:rPr>
        <w:t xml:space="preserve"> feedback and guidance.  Examples </w:t>
      </w:r>
      <w:proofErr w:type="gramStart"/>
      <w:r w:rsidRPr="00EC1403">
        <w:rPr>
          <w:sz w:val="24"/>
          <w:szCs w:val="24"/>
        </w:rPr>
        <w:t>include:</w:t>
      </w:r>
      <w:proofErr w:type="gramEnd"/>
      <w:r w:rsidRPr="00EC1403">
        <w:rPr>
          <w:sz w:val="24"/>
          <w:szCs w:val="24"/>
        </w:rPr>
        <w:t xml:space="preserve"> marketing material/information or community engagement strategies.  </w:t>
      </w:r>
    </w:p>
    <w:p w14:paraId="74B699B4" w14:textId="77777777" w:rsidR="00CF54AE" w:rsidRPr="00EC1403" w:rsidRDefault="00CF54AE" w:rsidP="00CF54A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C1403">
        <w:rPr>
          <w:sz w:val="24"/>
          <w:szCs w:val="24"/>
        </w:rPr>
        <w:t>Advocacy on behalf of our target populations and overall Sonoma County community at Commission level, committee level, and possibly community or legislative levels.</w:t>
      </w:r>
    </w:p>
    <w:p w14:paraId="1C338827" w14:textId="77777777" w:rsidR="00CF54AE" w:rsidRPr="00EC1403" w:rsidRDefault="00CF54AE" w:rsidP="00CF54A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C1403">
        <w:rPr>
          <w:sz w:val="24"/>
          <w:szCs w:val="24"/>
        </w:rPr>
        <w:t>Participation in community engagement activities.  Examples include:</w:t>
      </w:r>
    </w:p>
    <w:p w14:paraId="7FFAFA15" w14:textId="77777777" w:rsidR="00CF54AE" w:rsidRPr="00EC1403" w:rsidRDefault="00CF54AE" w:rsidP="00CF54AE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EC1403">
        <w:rPr>
          <w:sz w:val="24"/>
          <w:szCs w:val="24"/>
        </w:rPr>
        <w:t xml:space="preserve">networking at community events that support services for older adults and people with disabilities, </w:t>
      </w:r>
    </w:p>
    <w:p w14:paraId="5A59077D" w14:textId="77777777" w:rsidR="00CF54AE" w:rsidRPr="00EC1403" w:rsidRDefault="00CF54AE" w:rsidP="00CF54AE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EC1403">
        <w:rPr>
          <w:sz w:val="24"/>
          <w:szCs w:val="24"/>
        </w:rPr>
        <w:t>engaging potential community partners</w:t>
      </w:r>
    </w:p>
    <w:p w14:paraId="7EBF8284" w14:textId="77777777" w:rsidR="00CF54AE" w:rsidRDefault="00CF54AE" w:rsidP="00CF54AE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EC1403">
        <w:rPr>
          <w:sz w:val="24"/>
          <w:szCs w:val="24"/>
        </w:rPr>
        <w:t xml:space="preserve">providing </w:t>
      </w:r>
      <w:proofErr w:type="gramStart"/>
      <w:r w:rsidRPr="00EC1403">
        <w:rPr>
          <w:sz w:val="24"/>
          <w:szCs w:val="24"/>
        </w:rPr>
        <w:t>education</w:t>
      </w:r>
      <w:proofErr w:type="gramEnd"/>
      <w:r w:rsidRPr="00EC1403">
        <w:rPr>
          <w:sz w:val="24"/>
          <w:szCs w:val="24"/>
        </w:rPr>
        <w:t>/overview of services provided by Area Agency on Aging, the Aging and Disability Commission, or the Aging and Disability Resource Hub</w:t>
      </w:r>
    </w:p>
    <w:p w14:paraId="66405E7B" w14:textId="54DEB480" w:rsidR="00CF54AE" w:rsidRDefault="00CF54AE" w:rsidP="00CF54AE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CF54AE">
        <w:rPr>
          <w:sz w:val="24"/>
          <w:szCs w:val="24"/>
        </w:rPr>
        <w:t>support activities that assist in identifying and addressing barriers to accessing services</w:t>
      </w:r>
    </w:p>
    <w:p w14:paraId="715F6295" w14:textId="77777777" w:rsidR="00CF54AE" w:rsidRPr="00CF54AE" w:rsidRDefault="00CF54AE" w:rsidP="00CF54AE">
      <w:pPr>
        <w:rPr>
          <w:sz w:val="24"/>
          <w:szCs w:val="24"/>
          <w:u w:val="single"/>
        </w:rPr>
      </w:pPr>
      <w:r w:rsidRPr="00CF54AE">
        <w:rPr>
          <w:sz w:val="24"/>
          <w:szCs w:val="24"/>
          <w:u w:val="single"/>
        </w:rPr>
        <w:t>Structure</w:t>
      </w:r>
    </w:p>
    <w:p w14:paraId="367047F8" w14:textId="59BE2662" w:rsidR="00CF54AE" w:rsidRPr="00CF54AE" w:rsidRDefault="00CF54AE" w:rsidP="00CF54A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F54AE">
        <w:rPr>
          <w:sz w:val="24"/>
          <w:szCs w:val="24"/>
        </w:rPr>
        <w:t xml:space="preserve">The committee must include broad representation with a minimum 20 percent share of individuals who are consumers of LTSS or caregivers of those who use LTSS.  (per </w:t>
      </w:r>
      <w:hyperlink r:id="rId18" w:history="1">
        <w:r w:rsidRPr="00CF54AE">
          <w:rPr>
            <w:rStyle w:val="Hyperlink"/>
            <w:sz w:val="24"/>
            <w:szCs w:val="24"/>
          </w:rPr>
          <w:t>ADRC designation criteria</w:t>
        </w:r>
      </w:hyperlink>
      <w:r w:rsidRPr="00CF54AE">
        <w:rPr>
          <w:sz w:val="24"/>
          <w:szCs w:val="24"/>
        </w:rPr>
        <w:t xml:space="preserve"> set by CDA)</w:t>
      </w:r>
    </w:p>
    <w:sectPr w:rsidR="00CF54AE" w:rsidRPr="00CF54AE" w:rsidSect="00F450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530" w:right="1440" w:bottom="180" w:left="1440" w:header="10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B26CE" w14:textId="77777777" w:rsidR="00934090" w:rsidRDefault="00934090">
      <w:pPr>
        <w:spacing w:after="0" w:line="240" w:lineRule="auto"/>
      </w:pPr>
      <w:r>
        <w:separator/>
      </w:r>
    </w:p>
  </w:endnote>
  <w:endnote w:type="continuationSeparator" w:id="0">
    <w:p w14:paraId="08B3EF2B" w14:textId="77777777" w:rsidR="00934090" w:rsidRDefault="0093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B0A8" w14:textId="77777777" w:rsidR="000C5792" w:rsidRDefault="000C57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0174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05533" w14:textId="77777777" w:rsidR="007B4DF0" w:rsidRDefault="007B4D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E13961" w14:textId="77777777" w:rsidR="000C5792" w:rsidRDefault="000C57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8B85" w14:textId="77777777" w:rsidR="000C5792" w:rsidRDefault="000C57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19381" w14:textId="77777777" w:rsidR="00934090" w:rsidRDefault="00934090">
      <w:pPr>
        <w:spacing w:after="0" w:line="240" w:lineRule="auto"/>
      </w:pPr>
      <w:r>
        <w:separator/>
      </w:r>
    </w:p>
  </w:footnote>
  <w:footnote w:type="continuationSeparator" w:id="0">
    <w:p w14:paraId="736F3FEB" w14:textId="77777777" w:rsidR="00934090" w:rsidRDefault="0093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87EEF" w14:textId="77777777" w:rsidR="000C5792" w:rsidRDefault="000C57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8A870" w14:textId="77777777" w:rsidR="000C5792" w:rsidRDefault="000C57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85942" w14:textId="77777777" w:rsidR="000C5792" w:rsidRDefault="000C57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AEF"/>
    <w:multiLevelType w:val="hybridMultilevel"/>
    <w:tmpl w:val="3D821E76"/>
    <w:lvl w:ilvl="0" w:tplc="DA36C20E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 w15:restartNumberingAfterBreak="0">
    <w:nsid w:val="03980B04"/>
    <w:multiLevelType w:val="hybridMultilevel"/>
    <w:tmpl w:val="71BEF976"/>
    <w:lvl w:ilvl="0" w:tplc="DA36C20E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06DB1DC2"/>
    <w:multiLevelType w:val="hybridMultilevel"/>
    <w:tmpl w:val="65665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2D36B18"/>
    <w:multiLevelType w:val="hybridMultilevel"/>
    <w:tmpl w:val="902C8012"/>
    <w:lvl w:ilvl="0" w:tplc="04090001">
      <w:start w:val="1"/>
      <w:numFmt w:val="bullet"/>
      <w:lvlText w:val=""/>
      <w:lvlJc w:val="left"/>
      <w:pPr>
        <w:ind w:left="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4" w15:restartNumberingAfterBreak="0">
    <w:nsid w:val="2F492CE0"/>
    <w:multiLevelType w:val="hybridMultilevel"/>
    <w:tmpl w:val="191C9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D01758"/>
    <w:multiLevelType w:val="hybridMultilevel"/>
    <w:tmpl w:val="FFB800E4"/>
    <w:lvl w:ilvl="0" w:tplc="9880109E">
      <w:start w:val="1"/>
      <w:numFmt w:val="decimal"/>
      <w:lvlText w:val="%1."/>
      <w:lvlJc w:val="left"/>
      <w:pPr>
        <w:ind w:left="2880" w:hanging="360"/>
      </w:pPr>
      <w:rPr>
        <w:rFonts w:hint="default"/>
        <w:b/>
        <w:color w:val="auto"/>
      </w:rPr>
    </w:lvl>
    <w:lvl w:ilvl="1" w:tplc="630076D4">
      <w:start w:val="1"/>
      <w:numFmt w:val="bullet"/>
      <w:lvlText w:val="○"/>
      <w:lvlJc w:val="left"/>
      <w:pPr>
        <w:ind w:left="4320" w:hanging="360"/>
      </w:pPr>
      <w:rPr>
        <w:rFonts w:ascii="Sitka Text" w:hAnsi="Sitka Text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3D20B2F"/>
    <w:multiLevelType w:val="hybridMultilevel"/>
    <w:tmpl w:val="9328FF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8148F8"/>
    <w:multiLevelType w:val="hybridMultilevel"/>
    <w:tmpl w:val="4F3AE1C0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630076D4">
      <w:start w:val="1"/>
      <w:numFmt w:val="bullet"/>
      <w:lvlText w:val="○"/>
      <w:lvlJc w:val="left"/>
      <w:pPr>
        <w:ind w:left="1800" w:hanging="360"/>
      </w:pPr>
      <w:rPr>
        <w:rFonts w:ascii="Sitka Text" w:hAnsi="Sitka Text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37D1720"/>
    <w:multiLevelType w:val="hybridMultilevel"/>
    <w:tmpl w:val="D460FCF0"/>
    <w:lvl w:ilvl="0" w:tplc="DA36C20E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10CBA"/>
    <w:multiLevelType w:val="hybridMultilevel"/>
    <w:tmpl w:val="EFCE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8634F"/>
    <w:multiLevelType w:val="hybridMultilevel"/>
    <w:tmpl w:val="A5AC5A74"/>
    <w:lvl w:ilvl="0" w:tplc="6F72C74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70C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76876"/>
    <w:multiLevelType w:val="multilevel"/>
    <w:tmpl w:val="A80ED40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A5E0B9A"/>
    <w:multiLevelType w:val="hybridMultilevel"/>
    <w:tmpl w:val="7DE425D8"/>
    <w:lvl w:ilvl="0" w:tplc="378AF232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630076D4">
      <w:start w:val="1"/>
      <w:numFmt w:val="bullet"/>
      <w:lvlText w:val="○"/>
      <w:lvlJc w:val="left"/>
      <w:pPr>
        <w:ind w:left="2160" w:hanging="360"/>
      </w:pPr>
      <w:rPr>
        <w:rFonts w:ascii="Sitka Text" w:hAnsi="Sitka Text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C207FD5"/>
    <w:multiLevelType w:val="hybridMultilevel"/>
    <w:tmpl w:val="DD50D1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FA61E0B"/>
    <w:multiLevelType w:val="hybridMultilevel"/>
    <w:tmpl w:val="757ECE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DA3650"/>
    <w:multiLevelType w:val="hybridMultilevel"/>
    <w:tmpl w:val="CA4E9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85829"/>
    <w:multiLevelType w:val="hybridMultilevel"/>
    <w:tmpl w:val="C6ECE11C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70B115D7"/>
    <w:multiLevelType w:val="hybridMultilevel"/>
    <w:tmpl w:val="6C80DC46"/>
    <w:lvl w:ilvl="0" w:tplc="DA36C20E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8" w15:restartNumberingAfterBreak="0">
    <w:nsid w:val="72376E1F"/>
    <w:multiLevelType w:val="hybridMultilevel"/>
    <w:tmpl w:val="C5C6DEAE"/>
    <w:lvl w:ilvl="0" w:tplc="04090001">
      <w:start w:val="1"/>
      <w:numFmt w:val="bullet"/>
      <w:lvlText w:val=""/>
      <w:lvlJc w:val="left"/>
      <w:pPr>
        <w:ind w:left="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9" w15:restartNumberingAfterBreak="0">
    <w:nsid w:val="759D53D1"/>
    <w:multiLevelType w:val="hybridMultilevel"/>
    <w:tmpl w:val="5F7EC6C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1" w:tplc="630076D4">
      <w:start w:val="1"/>
      <w:numFmt w:val="bullet"/>
      <w:lvlText w:val="○"/>
      <w:lvlJc w:val="left"/>
      <w:pPr>
        <w:ind w:left="1800" w:hanging="360"/>
      </w:pPr>
      <w:rPr>
        <w:rFonts w:ascii="Sitka Text" w:hAnsi="Sitka Text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9743918"/>
    <w:multiLevelType w:val="hybridMultilevel"/>
    <w:tmpl w:val="F58C7F9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79B30835"/>
    <w:multiLevelType w:val="hybridMultilevel"/>
    <w:tmpl w:val="FBE05D9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AD77015"/>
    <w:multiLevelType w:val="hybridMultilevel"/>
    <w:tmpl w:val="4D22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E6301"/>
    <w:multiLevelType w:val="hybridMultilevel"/>
    <w:tmpl w:val="F7B0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240120">
    <w:abstractNumId w:val="12"/>
  </w:num>
  <w:num w:numId="2" w16cid:durableId="1652754260">
    <w:abstractNumId w:val="11"/>
  </w:num>
  <w:num w:numId="3" w16cid:durableId="771820629">
    <w:abstractNumId w:val="10"/>
  </w:num>
  <w:num w:numId="4" w16cid:durableId="40709830">
    <w:abstractNumId w:val="5"/>
  </w:num>
  <w:num w:numId="5" w16cid:durableId="1021279495">
    <w:abstractNumId w:val="18"/>
  </w:num>
  <w:num w:numId="6" w16cid:durableId="1820533369">
    <w:abstractNumId w:val="3"/>
  </w:num>
  <w:num w:numId="7" w16cid:durableId="2060782483">
    <w:abstractNumId w:val="6"/>
  </w:num>
  <w:num w:numId="8" w16cid:durableId="1975332414">
    <w:abstractNumId w:val="23"/>
  </w:num>
  <w:num w:numId="9" w16cid:durableId="474299249">
    <w:abstractNumId w:val="7"/>
  </w:num>
  <w:num w:numId="10" w16cid:durableId="1222908114">
    <w:abstractNumId w:val="19"/>
  </w:num>
  <w:num w:numId="11" w16cid:durableId="2088577659">
    <w:abstractNumId w:val="14"/>
  </w:num>
  <w:num w:numId="12" w16cid:durableId="353727245">
    <w:abstractNumId w:val="15"/>
  </w:num>
  <w:num w:numId="13" w16cid:durableId="1743868428">
    <w:abstractNumId w:val="13"/>
  </w:num>
  <w:num w:numId="14" w16cid:durableId="1622954441">
    <w:abstractNumId w:val="21"/>
  </w:num>
  <w:num w:numId="15" w16cid:durableId="1213886001">
    <w:abstractNumId w:val="16"/>
  </w:num>
  <w:num w:numId="16" w16cid:durableId="1949461541">
    <w:abstractNumId w:val="20"/>
  </w:num>
  <w:num w:numId="17" w16cid:durableId="1553272554">
    <w:abstractNumId w:val="2"/>
  </w:num>
  <w:num w:numId="18" w16cid:durableId="1761096183">
    <w:abstractNumId w:val="22"/>
  </w:num>
  <w:num w:numId="19" w16cid:durableId="1115833994">
    <w:abstractNumId w:val="9"/>
  </w:num>
  <w:num w:numId="20" w16cid:durableId="1117214996">
    <w:abstractNumId w:val="4"/>
  </w:num>
  <w:num w:numId="21" w16cid:durableId="320238509">
    <w:abstractNumId w:val="0"/>
  </w:num>
  <w:num w:numId="22" w16cid:durableId="1355112567">
    <w:abstractNumId w:val="1"/>
  </w:num>
  <w:num w:numId="23" w16cid:durableId="1459832771">
    <w:abstractNumId w:val="8"/>
  </w:num>
  <w:num w:numId="24" w16cid:durableId="15819098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92"/>
    <w:rsid w:val="00001A07"/>
    <w:rsid w:val="00006379"/>
    <w:rsid w:val="000238A2"/>
    <w:rsid w:val="000278C7"/>
    <w:rsid w:val="0003246C"/>
    <w:rsid w:val="00032FCE"/>
    <w:rsid w:val="00034BBE"/>
    <w:rsid w:val="00042B88"/>
    <w:rsid w:val="00051B02"/>
    <w:rsid w:val="000638EC"/>
    <w:rsid w:val="00073BBC"/>
    <w:rsid w:val="00095670"/>
    <w:rsid w:val="000A6AD4"/>
    <w:rsid w:val="000C5695"/>
    <w:rsid w:val="000C5792"/>
    <w:rsid w:val="000C6DA1"/>
    <w:rsid w:val="000C7F0A"/>
    <w:rsid w:val="001062AA"/>
    <w:rsid w:val="00110527"/>
    <w:rsid w:val="00122232"/>
    <w:rsid w:val="00131ED2"/>
    <w:rsid w:val="00141CF5"/>
    <w:rsid w:val="001600E2"/>
    <w:rsid w:val="00170E47"/>
    <w:rsid w:val="00177695"/>
    <w:rsid w:val="00184686"/>
    <w:rsid w:val="001A6280"/>
    <w:rsid w:val="001B3C88"/>
    <w:rsid w:val="001D5E8F"/>
    <w:rsid w:val="001F5F46"/>
    <w:rsid w:val="00200E91"/>
    <w:rsid w:val="0020171F"/>
    <w:rsid w:val="00212481"/>
    <w:rsid w:val="00224B82"/>
    <w:rsid w:val="00227D8D"/>
    <w:rsid w:val="00230A8B"/>
    <w:rsid w:val="00234BA4"/>
    <w:rsid w:val="00251CBB"/>
    <w:rsid w:val="00260C0E"/>
    <w:rsid w:val="0026501B"/>
    <w:rsid w:val="00272022"/>
    <w:rsid w:val="00281530"/>
    <w:rsid w:val="00283593"/>
    <w:rsid w:val="00285B08"/>
    <w:rsid w:val="002876F1"/>
    <w:rsid w:val="002A3123"/>
    <w:rsid w:val="002B07E2"/>
    <w:rsid w:val="002B6A4D"/>
    <w:rsid w:val="002C45A9"/>
    <w:rsid w:val="002C491D"/>
    <w:rsid w:val="002E24F2"/>
    <w:rsid w:val="002E3E73"/>
    <w:rsid w:val="002F53C3"/>
    <w:rsid w:val="00301017"/>
    <w:rsid w:val="00305AB4"/>
    <w:rsid w:val="003072C2"/>
    <w:rsid w:val="003119CF"/>
    <w:rsid w:val="0031514C"/>
    <w:rsid w:val="003158B8"/>
    <w:rsid w:val="00317326"/>
    <w:rsid w:val="0032318D"/>
    <w:rsid w:val="00326593"/>
    <w:rsid w:val="00332416"/>
    <w:rsid w:val="00333729"/>
    <w:rsid w:val="00341FF6"/>
    <w:rsid w:val="00357027"/>
    <w:rsid w:val="0036044A"/>
    <w:rsid w:val="0036758D"/>
    <w:rsid w:val="003744F5"/>
    <w:rsid w:val="0038723F"/>
    <w:rsid w:val="00387EA8"/>
    <w:rsid w:val="003B4380"/>
    <w:rsid w:val="003B7A07"/>
    <w:rsid w:val="003D259D"/>
    <w:rsid w:val="003D301E"/>
    <w:rsid w:val="003D52EE"/>
    <w:rsid w:val="003D5E74"/>
    <w:rsid w:val="003D6490"/>
    <w:rsid w:val="003E52B2"/>
    <w:rsid w:val="003F1414"/>
    <w:rsid w:val="003F350C"/>
    <w:rsid w:val="003F3BFE"/>
    <w:rsid w:val="00423044"/>
    <w:rsid w:val="004266F4"/>
    <w:rsid w:val="00426962"/>
    <w:rsid w:val="00426F49"/>
    <w:rsid w:val="00444A77"/>
    <w:rsid w:val="004543EA"/>
    <w:rsid w:val="0047044C"/>
    <w:rsid w:val="00474F3D"/>
    <w:rsid w:val="00481302"/>
    <w:rsid w:val="00497908"/>
    <w:rsid w:val="00497AC2"/>
    <w:rsid w:val="004A132B"/>
    <w:rsid w:val="004A243D"/>
    <w:rsid w:val="004A2C95"/>
    <w:rsid w:val="004A6910"/>
    <w:rsid w:val="004C2F78"/>
    <w:rsid w:val="004C311F"/>
    <w:rsid w:val="004D77D0"/>
    <w:rsid w:val="004E1EFE"/>
    <w:rsid w:val="004E3FC8"/>
    <w:rsid w:val="004E5711"/>
    <w:rsid w:val="004F548E"/>
    <w:rsid w:val="00503086"/>
    <w:rsid w:val="005043E8"/>
    <w:rsid w:val="005204A7"/>
    <w:rsid w:val="0052171D"/>
    <w:rsid w:val="005377CC"/>
    <w:rsid w:val="0054035B"/>
    <w:rsid w:val="0055785F"/>
    <w:rsid w:val="00565131"/>
    <w:rsid w:val="00596F7D"/>
    <w:rsid w:val="005B27DC"/>
    <w:rsid w:val="005B7CAB"/>
    <w:rsid w:val="005D0905"/>
    <w:rsid w:val="005D18C6"/>
    <w:rsid w:val="005D2042"/>
    <w:rsid w:val="005D39E8"/>
    <w:rsid w:val="005D7BC5"/>
    <w:rsid w:val="005E6AB9"/>
    <w:rsid w:val="005F57A2"/>
    <w:rsid w:val="006009A9"/>
    <w:rsid w:val="00606ECA"/>
    <w:rsid w:val="00613684"/>
    <w:rsid w:val="00613F41"/>
    <w:rsid w:val="00615F21"/>
    <w:rsid w:val="00620559"/>
    <w:rsid w:val="006343FC"/>
    <w:rsid w:val="0064542B"/>
    <w:rsid w:val="00664D27"/>
    <w:rsid w:val="006710F9"/>
    <w:rsid w:val="0067118D"/>
    <w:rsid w:val="00674770"/>
    <w:rsid w:val="00677A7A"/>
    <w:rsid w:val="00680AC1"/>
    <w:rsid w:val="006818EC"/>
    <w:rsid w:val="00681E6A"/>
    <w:rsid w:val="006877E8"/>
    <w:rsid w:val="006A6711"/>
    <w:rsid w:val="006C7AB6"/>
    <w:rsid w:val="006D6EF3"/>
    <w:rsid w:val="006E04C1"/>
    <w:rsid w:val="006E4690"/>
    <w:rsid w:val="006F3252"/>
    <w:rsid w:val="007143A3"/>
    <w:rsid w:val="00717CE5"/>
    <w:rsid w:val="007263F2"/>
    <w:rsid w:val="00745E2C"/>
    <w:rsid w:val="00745E7F"/>
    <w:rsid w:val="007506BF"/>
    <w:rsid w:val="007537AE"/>
    <w:rsid w:val="007543DC"/>
    <w:rsid w:val="00754DF5"/>
    <w:rsid w:val="00767B6E"/>
    <w:rsid w:val="00776A1F"/>
    <w:rsid w:val="00786AA7"/>
    <w:rsid w:val="0079117A"/>
    <w:rsid w:val="00792F21"/>
    <w:rsid w:val="007962E2"/>
    <w:rsid w:val="007A03DA"/>
    <w:rsid w:val="007A0BE4"/>
    <w:rsid w:val="007B0CF8"/>
    <w:rsid w:val="007B2DA1"/>
    <w:rsid w:val="007B4DF0"/>
    <w:rsid w:val="007C2BEA"/>
    <w:rsid w:val="007C43DE"/>
    <w:rsid w:val="007D712D"/>
    <w:rsid w:val="007E2F13"/>
    <w:rsid w:val="007F042D"/>
    <w:rsid w:val="0081413F"/>
    <w:rsid w:val="00841A62"/>
    <w:rsid w:val="00862B22"/>
    <w:rsid w:val="008706EF"/>
    <w:rsid w:val="00882CD4"/>
    <w:rsid w:val="008831F0"/>
    <w:rsid w:val="0088430D"/>
    <w:rsid w:val="00884414"/>
    <w:rsid w:val="0088691D"/>
    <w:rsid w:val="008A4281"/>
    <w:rsid w:val="008A5DAB"/>
    <w:rsid w:val="008B5FDB"/>
    <w:rsid w:val="008B74C7"/>
    <w:rsid w:val="008C6CF5"/>
    <w:rsid w:val="008D206D"/>
    <w:rsid w:val="008D3962"/>
    <w:rsid w:val="008E53F6"/>
    <w:rsid w:val="008F699A"/>
    <w:rsid w:val="009053B7"/>
    <w:rsid w:val="00934090"/>
    <w:rsid w:val="00940C72"/>
    <w:rsid w:val="009703D1"/>
    <w:rsid w:val="00972641"/>
    <w:rsid w:val="00976FD1"/>
    <w:rsid w:val="00977036"/>
    <w:rsid w:val="00980A08"/>
    <w:rsid w:val="0098589C"/>
    <w:rsid w:val="009A5E5D"/>
    <w:rsid w:val="009C4B7E"/>
    <w:rsid w:val="009E4FF3"/>
    <w:rsid w:val="009F166F"/>
    <w:rsid w:val="00A03388"/>
    <w:rsid w:val="00A03F1B"/>
    <w:rsid w:val="00A15D5E"/>
    <w:rsid w:val="00A32C58"/>
    <w:rsid w:val="00A443D9"/>
    <w:rsid w:val="00A45876"/>
    <w:rsid w:val="00A45ECB"/>
    <w:rsid w:val="00A4757D"/>
    <w:rsid w:val="00A60BDC"/>
    <w:rsid w:val="00A63639"/>
    <w:rsid w:val="00A64292"/>
    <w:rsid w:val="00A804FE"/>
    <w:rsid w:val="00A81B4D"/>
    <w:rsid w:val="00A85005"/>
    <w:rsid w:val="00A94FAD"/>
    <w:rsid w:val="00AA6E90"/>
    <w:rsid w:val="00AB2607"/>
    <w:rsid w:val="00AC5EA6"/>
    <w:rsid w:val="00AD51AB"/>
    <w:rsid w:val="00AE3D79"/>
    <w:rsid w:val="00AE4022"/>
    <w:rsid w:val="00AE5F0A"/>
    <w:rsid w:val="00AE73DA"/>
    <w:rsid w:val="00AF2A77"/>
    <w:rsid w:val="00B0303B"/>
    <w:rsid w:val="00B161B3"/>
    <w:rsid w:val="00B23422"/>
    <w:rsid w:val="00B26308"/>
    <w:rsid w:val="00B34CEF"/>
    <w:rsid w:val="00B37636"/>
    <w:rsid w:val="00B41408"/>
    <w:rsid w:val="00B51E00"/>
    <w:rsid w:val="00B57AA9"/>
    <w:rsid w:val="00B6115A"/>
    <w:rsid w:val="00B61DBD"/>
    <w:rsid w:val="00B8311C"/>
    <w:rsid w:val="00B83FFB"/>
    <w:rsid w:val="00B909DC"/>
    <w:rsid w:val="00B91DA6"/>
    <w:rsid w:val="00BA197A"/>
    <w:rsid w:val="00BA286E"/>
    <w:rsid w:val="00BB189F"/>
    <w:rsid w:val="00BB3774"/>
    <w:rsid w:val="00BB7757"/>
    <w:rsid w:val="00BC3403"/>
    <w:rsid w:val="00BC44E5"/>
    <w:rsid w:val="00BC5C4B"/>
    <w:rsid w:val="00BF1527"/>
    <w:rsid w:val="00C112FA"/>
    <w:rsid w:val="00C162F6"/>
    <w:rsid w:val="00C30475"/>
    <w:rsid w:val="00C44C5D"/>
    <w:rsid w:val="00C55607"/>
    <w:rsid w:val="00C6121E"/>
    <w:rsid w:val="00C75287"/>
    <w:rsid w:val="00C80BEA"/>
    <w:rsid w:val="00C92F13"/>
    <w:rsid w:val="00CA06F9"/>
    <w:rsid w:val="00CA1A16"/>
    <w:rsid w:val="00CB40C2"/>
    <w:rsid w:val="00CE318A"/>
    <w:rsid w:val="00CE45F0"/>
    <w:rsid w:val="00CF15DE"/>
    <w:rsid w:val="00CF54AE"/>
    <w:rsid w:val="00D2371A"/>
    <w:rsid w:val="00D24275"/>
    <w:rsid w:val="00D24DC8"/>
    <w:rsid w:val="00D31594"/>
    <w:rsid w:val="00D3400C"/>
    <w:rsid w:val="00D37285"/>
    <w:rsid w:val="00D47F67"/>
    <w:rsid w:val="00D64881"/>
    <w:rsid w:val="00D7379C"/>
    <w:rsid w:val="00D74F0F"/>
    <w:rsid w:val="00D8000E"/>
    <w:rsid w:val="00D82EBE"/>
    <w:rsid w:val="00DA5F0E"/>
    <w:rsid w:val="00DB2325"/>
    <w:rsid w:val="00DC4DDE"/>
    <w:rsid w:val="00DD4E93"/>
    <w:rsid w:val="00DE0EBC"/>
    <w:rsid w:val="00DE2955"/>
    <w:rsid w:val="00DE7E6A"/>
    <w:rsid w:val="00DF0283"/>
    <w:rsid w:val="00E11A5B"/>
    <w:rsid w:val="00E12F22"/>
    <w:rsid w:val="00E17B83"/>
    <w:rsid w:val="00E21162"/>
    <w:rsid w:val="00E23BB8"/>
    <w:rsid w:val="00E32304"/>
    <w:rsid w:val="00E3265C"/>
    <w:rsid w:val="00E35CCA"/>
    <w:rsid w:val="00E46ECC"/>
    <w:rsid w:val="00E60BA2"/>
    <w:rsid w:val="00E63891"/>
    <w:rsid w:val="00E66940"/>
    <w:rsid w:val="00E72CA2"/>
    <w:rsid w:val="00E8324E"/>
    <w:rsid w:val="00E863CD"/>
    <w:rsid w:val="00E94BAA"/>
    <w:rsid w:val="00E96D34"/>
    <w:rsid w:val="00EA4207"/>
    <w:rsid w:val="00EA439D"/>
    <w:rsid w:val="00EA61A4"/>
    <w:rsid w:val="00EC5435"/>
    <w:rsid w:val="00EC587C"/>
    <w:rsid w:val="00EC5A30"/>
    <w:rsid w:val="00F06F11"/>
    <w:rsid w:val="00F23A24"/>
    <w:rsid w:val="00F2508E"/>
    <w:rsid w:val="00F270F4"/>
    <w:rsid w:val="00F27C2D"/>
    <w:rsid w:val="00F32D0F"/>
    <w:rsid w:val="00F36AC6"/>
    <w:rsid w:val="00F41FC2"/>
    <w:rsid w:val="00F430ED"/>
    <w:rsid w:val="00F450A8"/>
    <w:rsid w:val="00F55A48"/>
    <w:rsid w:val="00F75F8C"/>
    <w:rsid w:val="00F8189B"/>
    <w:rsid w:val="00FA0796"/>
    <w:rsid w:val="00FA54B6"/>
    <w:rsid w:val="00FB03B9"/>
    <w:rsid w:val="00FB1C00"/>
    <w:rsid w:val="00FC2C46"/>
    <w:rsid w:val="00FE2095"/>
    <w:rsid w:val="00FE2332"/>
    <w:rsid w:val="00FE2C9B"/>
    <w:rsid w:val="00FF01CC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45FDFCD"/>
  <w15:docId w15:val="{BEF1715D-760E-4D58-BB17-9A0EC970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1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8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63A"/>
  </w:style>
  <w:style w:type="paragraph" w:styleId="Footer">
    <w:name w:val="footer"/>
    <w:basedOn w:val="Normal"/>
    <w:link w:val="FooterChar"/>
    <w:uiPriority w:val="99"/>
    <w:unhideWhenUsed/>
    <w:rsid w:val="00D8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63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33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7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5F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F46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F430ED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C112FA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2FA"/>
    <w:rPr>
      <w:i/>
      <w:iCs/>
      <w:color w:val="4472C4" w:themeColor="accent1"/>
    </w:rPr>
  </w:style>
  <w:style w:type="paragraph" w:styleId="NoSpacing">
    <w:name w:val="No Spacing"/>
    <w:uiPriority w:val="1"/>
    <w:qFormat/>
    <w:rsid w:val="00C112FA"/>
    <w:pPr>
      <w:spacing w:after="0" w:line="240" w:lineRule="auto"/>
    </w:pPr>
    <w:rPr>
      <w:rFonts w:asciiTheme="minorHAnsi" w:eastAsiaTheme="minorHAnsi" w:hAnsiTheme="minorHAnsi" w:cstheme="minorBidi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C112FA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112F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F0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F0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or.ca.gov/Content/DorIncludes/documents/IndependentLiving/ILC%20Directory%20FY18-19%20V.11.18.docx" TargetMode="External"/><Relationship Id="rId18" Type="http://schemas.openxmlformats.org/officeDocument/2006/relationships/hyperlink" Target="https://aging.ca.gov/download.ashx?lE0rcNUV0zZnb2y%2bi4EbJw%3d%3d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acl.gov/programs/connecting-people-services/aging-and-disability-resource-centers-programno-wrong-door" TargetMode="External"/><Relationship Id="rId17" Type="http://schemas.openxmlformats.org/officeDocument/2006/relationships/hyperlink" Target="https://www.aging.ca.gov/Providers_and_Partners/Area_Agencies_on_Aging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r.ca.gov/Content/DorIncludes/documents/IndependentLiving/ILC%20Directory%20FY18-19%20V.11.18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acl.gov/programs/connecting-people-services/aging-and-disability-resource-centers-programno-wrong-door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aging.ca.gov/Providers_and_Partners/Area_Agencies_on_Aging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WuvaJlnupmyFbhjKM9wRcswtcg==">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CA6B19-61AA-448E-A4E0-012DFB94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kaljian</dc:creator>
  <cp:lastModifiedBy>Betsey Harper</cp:lastModifiedBy>
  <cp:revision>9</cp:revision>
  <dcterms:created xsi:type="dcterms:W3CDTF">2024-10-14T16:09:00Z</dcterms:created>
  <dcterms:modified xsi:type="dcterms:W3CDTF">2024-10-16T14:41:00Z</dcterms:modified>
</cp:coreProperties>
</file>